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48" w:rsidRPr="00AD52C5" w:rsidRDefault="00C65EE3" w:rsidP="00C51984">
      <w:pPr>
        <w:pStyle w:val="Table"/>
        <w:rPr>
          <w:rFonts w:eastAsia="宋体"/>
          <w:lang w:eastAsia="zh-CN"/>
        </w:rPr>
      </w:pPr>
      <w:r>
        <w:rPr>
          <w:rFonts w:eastAsia="宋体"/>
          <w:lang w:eastAsia="zh-CN"/>
        </w:rPr>
        <w:t xml:space="preserve">Supplementary </w:t>
      </w:r>
      <w:r w:rsidR="00964748" w:rsidRPr="00AD52C5">
        <w:rPr>
          <w:rFonts w:eastAsia="宋体"/>
          <w:lang w:eastAsia="zh-CN"/>
        </w:rPr>
        <w:t xml:space="preserve">Table </w:t>
      </w:r>
      <w:r>
        <w:rPr>
          <w:rFonts w:eastAsia="宋体"/>
          <w:lang w:eastAsia="zh-CN"/>
        </w:rPr>
        <w:t>1</w:t>
      </w:r>
      <w:r w:rsidR="00964748" w:rsidRPr="00AD52C5">
        <w:rPr>
          <w:rFonts w:eastAsia="宋体"/>
          <w:lang w:eastAsia="zh-CN"/>
        </w:rPr>
        <w:t>. Meta Analysis of All the Reported Cases of Superwarfarin Poisoning</w:t>
      </w:r>
    </w:p>
    <w:tbl>
      <w:tblPr>
        <w:tblW w:w="5000" w:type="pct"/>
        <w:tblBorders>
          <w:top w:val="single" w:sz="4" w:space="0" w:color="auto"/>
          <w:bottom w:val="single" w:sz="4" w:space="0" w:color="auto"/>
        </w:tblBorders>
        <w:tblLook w:val="04A0"/>
      </w:tblPr>
      <w:tblGrid>
        <w:gridCol w:w="961"/>
        <w:gridCol w:w="1167"/>
        <w:gridCol w:w="2042"/>
        <w:gridCol w:w="1437"/>
        <w:gridCol w:w="1242"/>
        <w:gridCol w:w="1863"/>
        <w:gridCol w:w="1544"/>
        <w:gridCol w:w="1360"/>
        <w:gridCol w:w="1560"/>
      </w:tblGrid>
      <w:tr w:rsidR="003625AF" w:rsidRPr="00AD52C5" w:rsidTr="00771CF1">
        <w:trPr>
          <w:trHeight w:val="277"/>
          <w:tblHeader/>
        </w:trPr>
        <w:tc>
          <w:tcPr>
            <w:tcW w:w="359"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Author</w:t>
            </w:r>
          </w:p>
        </w:tc>
        <w:tc>
          <w:tcPr>
            <w:tcW w:w="433"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Age/</w:t>
            </w:r>
            <w:r w:rsidRPr="00AD52C5">
              <w:rPr>
                <w:rFonts w:eastAsia="宋体"/>
                <w:b/>
                <w:lang w:eastAsia="zh-CN"/>
              </w:rPr>
              <w:t>g</w:t>
            </w:r>
            <w:r w:rsidRPr="00AD52C5">
              <w:rPr>
                <w:b/>
              </w:rPr>
              <w:t>ender</w:t>
            </w:r>
          </w:p>
        </w:tc>
        <w:tc>
          <w:tcPr>
            <w:tcW w:w="709"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 xml:space="preserve">Presenting </w:t>
            </w:r>
            <w:r w:rsidRPr="00AD52C5">
              <w:rPr>
                <w:rFonts w:eastAsia="宋体"/>
                <w:b/>
                <w:lang w:eastAsia="zh-CN"/>
              </w:rPr>
              <w:t>c</w:t>
            </w:r>
            <w:r w:rsidRPr="00AD52C5">
              <w:rPr>
                <w:b/>
              </w:rPr>
              <w:t>o</w:t>
            </w:r>
            <w:r w:rsidRPr="00AD52C5">
              <w:rPr>
                <w:b/>
              </w:rPr>
              <w:t>m</w:t>
            </w:r>
            <w:r w:rsidRPr="00AD52C5">
              <w:rPr>
                <w:b/>
              </w:rPr>
              <w:t>plaint/</w:t>
            </w:r>
            <w:r w:rsidRPr="00AD52C5">
              <w:rPr>
                <w:rFonts w:eastAsia="宋体"/>
                <w:b/>
                <w:lang w:eastAsia="zh-CN"/>
              </w:rPr>
              <w:t>r</w:t>
            </w:r>
            <w:r w:rsidRPr="00AD52C5">
              <w:rPr>
                <w:b/>
              </w:rPr>
              <w:t>oden</w:t>
            </w:r>
            <w:r w:rsidRPr="00AD52C5">
              <w:rPr>
                <w:rFonts w:eastAsia="宋体"/>
                <w:b/>
                <w:lang w:eastAsia="zh-CN"/>
              </w:rPr>
              <w:t>ti</w:t>
            </w:r>
            <w:r w:rsidRPr="00AD52C5">
              <w:rPr>
                <w:b/>
              </w:rPr>
              <w:t xml:space="preserve">cide </w:t>
            </w:r>
            <w:r w:rsidRPr="00AD52C5">
              <w:rPr>
                <w:rFonts w:eastAsia="宋体"/>
                <w:b/>
                <w:lang w:eastAsia="zh-CN"/>
              </w:rPr>
              <w:t>u</w:t>
            </w:r>
            <w:r w:rsidRPr="00AD52C5">
              <w:rPr>
                <w:b/>
              </w:rPr>
              <w:t>sed (if known)</w:t>
            </w:r>
          </w:p>
        </w:tc>
        <w:tc>
          <w:tcPr>
            <w:tcW w:w="527"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 xml:space="preserve">Past </w:t>
            </w:r>
            <w:r w:rsidRPr="00AD52C5">
              <w:rPr>
                <w:rFonts w:eastAsia="宋体"/>
                <w:b/>
                <w:lang w:eastAsia="zh-CN"/>
              </w:rPr>
              <w:t>m</w:t>
            </w:r>
            <w:r w:rsidRPr="00AD52C5">
              <w:rPr>
                <w:b/>
              </w:rPr>
              <w:t xml:space="preserve">edical </w:t>
            </w:r>
            <w:r w:rsidRPr="00AD52C5">
              <w:rPr>
                <w:rFonts w:eastAsia="宋体"/>
                <w:b/>
                <w:lang w:eastAsia="zh-CN"/>
              </w:rPr>
              <w:t>h</w:t>
            </w:r>
            <w:r w:rsidRPr="00AD52C5">
              <w:rPr>
                <w:b/>
              </w:rPr>
              <w:t>istory</w:t>
            </w:r>
          </w:p>
        </w:tc>
        <w:tc>
          <w:tcPr>
            <w:tcW w:w="480"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Medications</w:t>
            </w:r>
          </w:p>
        </w:tc>
        <w:tc>
          <w:tcPr>
            <w:tcW w:w="687"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 xml:space="preserve">Physical </w:t>
            </w:r>
            <w:r w:rsidRPr="00AD52C5">
              <w:rPr>
                <w:rFonts w:eastAsia="宋体"/>
                <w:b/>
                <w:lang w:eastAsia="zh-CN"/>
              </w:rPr>
              <w:t>f</w:t>
            </w:r>
            <w:r w:rsidRPr="00AD52C5">
              <w:rPr>
                <w:b/>
              </w:rPr>
              <w:t>indings</w:t>
            </w:r>
          </w:p>
        </w:tc>
        <w:tc>
          <w:tcPr>
            <w:tcW w:w="727"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Signif</w:t>
            </w:r>
            <w:r w:rsidRPr="00AD52C5">
              <w:rPr>
                <w:rFonts w:eastAsia="宋体"/>
                <w:b/>
                <w:lang w:eastAsia="zh-CN"/>
              </w:rPr>
              <w:t>i</w:t>
            </w:r>
            <w:r w:rsidRPr="00AD52C5">
              <w:rPr>
                <w:b/>
              </w:rPr>
              <w:t xml:space="preserve">cant </w:t>
            </w:r>
            <w:r w:rsidRPr="00AD52C5">
              <w:rPr>
                <w:rFonts w:eastAsia="宋体"/>
                <w:b/>
                <w:lang w:eastAsia="zh-CN"/>
              </w:rPr>
              <w:t>l</w:t>
            </w:r>
            <w:r w:rsidRPr="00AD52C5">
              <w:rPr>
                <w:b/>
              </w:rPr>
              <w:t xml:space="preserve">aboratory </w:t>
            </w:r>
            <w:r w:rsidRPr="00AD52C5">
              <w:rPr>
                <w:rFonts w:eastAsia="宋体"/>
                <w:b/>
                <w:lang w:eastAsia="zh-CN"/>
              </w:rPr>
              <w:t>f</w:t>
            </w:r>
            <w:r w:rsidRPr="00AD52C5">
              <w:rPr>
                <w:b/>
              </w:rPr>
              <w:t>indings</w:t>
            </w:r>
          </w:p>
        </w:tc>
        <w:tc>
          <w:tcPr>
            <w:tcW w:w="504"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 xml:space="preserve">Imaging </w:t>
            </w:r>
            <w:r w:rsidRPr="00AD52C5">
              <w:rPr>
                <w:rFonts w:eastAsia="宋体"/>
                <w:b/>
                <w:lang w:eastAsia="zh-CN"/>
              </w:rPr>
              <w:t>f</w:t>
            </w:r>
            <w:r w:rsidRPr="00AD52C5">
              <w:rPr>
                <w:b/>
              </w:rPr>
              <w:t>in</w:t>
            </w:r>
            <w:r w:rsidRPr="00AD52C5">
              <w:rPr>
                <w:b/>
              </w:rPr>
              <w:t>d</w:t>
            </w:r>
            <w:r w:rsidRPr="00AD52C5">
              <w:rPr>
                <w:b/>
              </w:rPr>
              <w:t>ings</w:t>
            </w:r>
          </w:p>
        </w:tc>
        <w:tc>
          <w:tcPr>
            <w:tcW w:w="575" w:type="pct"/>
            <w:tcBorders>
              <w:top w:val="single" w:sz="4" w:space="0" w:color="auto"/>
              <w:bottom w:val="single" w:sz="4" w:space="0" w:color="auto"/>
            </w:tcBorders>
            <w:vAlign w:val="center"/>
            <w:hideMark/>
          </w:tcPr>
          <w:p w:rsidR="00964748" w:rsidRPr="00AD52C5" w:rsidRDefault="00964748" w:rsidP="00C51984">
            <w:pPr>
              <w:pStyle w:val="Para"/>
              <w:ind w:firstLine="0"/>
              <w:rPr>
                <w:b/>
              </w:rPr>
            </w:pPr>
            <w:r w:rsidRPr="00AD52C5">
              <w:rPr>
                <w:b/>
              </w:rPr>
              <w:t>Treatment plan</w:t>
            </w:r>
          </w:p>
        </w:tc>
      </w:tr>
      <w:tr w:rsidR="003625AF" w:rsidRPr="00AD52C5" w:rsidTr="00771CF1">
        <w:trPr>
          <w:trHeight w:val="551"/>
        </w:trPr>
        <w:tc>
          <w:tcPr>
            <w:tcW w:w="359" w:type="pct"/>
            <w:tcBorders>
              <w:top w:val="single" w:sz="4" w:space="0" w:color="auto"/>
            </w:tcBorders>
            <w:hideMark/>
          </w:tcPr>
          <w:p w:rsidR="00964748" w:rsidRPr="00AD52C5" w:rsidRDefault="00964748" w:rsidP="00C51984">
            <w:pPr>
              <w:pStyle w:val="Para"/>
              <w:ind w:firstLine="0"/>
            </w:pPr>
            <w:r w:rsidRPr="00AD52C5">
              <w:t xml:space="preserve">Our study </w:t>
            </w:r>
          </w:p>
        </w:tc>
        <w:tc>
          <w:tcPr>
            <w:tcW w:w="433" w:type="pct"/>
            <w:tcBorders>
              <w:top w:val="single" w:sz="4" w:space="0" w:color="auto"/>
            </w:tcBorders>
            <w:hideMark/>
          </w:tcPr>
          <w:p w:rsidR="00964748" w:rsidRPr="00AD52C5" w:rsidRDefault="00964748" w:rsidP="00C51984">
            <w:pPr>
              <w:pStyle w:val="Para"/>
              <w:ind w:firstLine="0"/>
            </w:pPr>
            <w:r w:rsidRPr="00AD52C5">
              <w:t>68/M</w:t>
            </w:r>
          </w:p>
        </w:tc>
        <w:tc>
          <w:tcPr>
            <w:tcW w:w="709" w:type="pct"/>
            <w:tcBorders>
              <w:top w:val="single" w:sz="4" w:space="0" w:color="auto"/>
            </w:tcBorders>
            <w:hideMark/>
          </w:tcPr>
          <w:p w:rsidR="00964748" w:rsidRPr="00AD52C5" w:rsidRDefault="00964748" w:rsidP="00C51984">
            <w:pPr>
              <w:pStyle w:val="Para"/>
              <w:ind w:firstLine="0"/>
            </w:pPr>
            <w:r w:rsidRPr="00AD52C5">
              <w:t>Epista</w:t>
            </w:r>
            <w:r w:rsidRPr="00AD52C5">
              <w:t>x</w:t>
            </w:r>
            <w:r w:rsidRPr="00AD52C5">
              <w:t>is/melena/cola</w:t>
            </w:r>
            <w:r w:rsidRPr="00AD52C5">
              <w:rPr>
                <w:rFonts w:eastAsia="宋体"/>
                <w:lang w:eastAsia="zh-CN"/>
              </w:rPr>
              <w:t>-</w:t>
            </w:r>
            <w:r w:rsidRPr="00AD52C5">
              <w:t>colored urine - 5 days duration</w:t>
            </w:r>
          </w:p>
        </w:tc>
        <w:tc>
          <w:tcPr>
            <w:tcW w:w="527" w:type="pct"/>
            <w:tcBorders>
              <w:top w:val="single" w:sz="4" w:space="0" w:color="auto"/>
            </w:tcBorders>
            <w:hideMark/>
          </w:tcPr>
          <w:p w:rsidR="00964748" w:rsidRPr="00AD52C5" w:rsidRDefault="00964748" w:rsidP="00C51984">
            <w:pPr>
              <w:pStyle w:val="Para"/>
              <w:ind w:firstLine="0"/>
            </w:pPr>
            <w:r w:rsidRPr="00AD52C5">
              <w:t>HTN + DM</w:t>
            </w:r>
          </w:p>
        </w:tc>
        <w:tc>
          <w:tcPr>
            <w:tcW w:w="480" w:type="pct"/>
            <w:tcBorders>
              <w:top w:val="single" w:sz="4" w:space="0" w:color="auto"/>
            </w:tcBorders>
            <w:hideMark/>
          </w:tcPr>
          <w:p w:rsidR="00964748" w:rsidRPr="00AD52C5" w:rsidRDefault="00964748" w:rsidP="00C51984">
            <w:pPr>
              <w:pStyle w:val="Para"/>
              <w:ind w:firstLine="0"/>
            </w:pPr>
            <w:r w:rsidRPr="00AD52C5">
              <w:t>Baby aspirin</w:t>
            </w:r>
            <w:r w:rsidRPr="00AD52C5">
              <w:rPr>
                <w:rFonts w:eastAsia="宋体"/>
                <w:lang w:eastAsia="zh-CN"/>
              </w:rPr>
              <w:t>,</w:t>
            </w:r>
            <w:r w:rsidRPr="00AD52C5">
              <w:t xml:space="preserve">  </w:t>
            </w:r>
            <w:r w:rsidRPr="00AD52C5">
              <w:rPr>
                <w:rFonts w:eastAsia="宋体"/>
                <w:lang w:eastAsia="zh-CN"/>
              </w:rPr>
              <w:t>m</w:t>
            </w:r>
            <w:r w:rsidRPr="00AD52C5">
              <w:t>etformin</w:t>
            </w:r>
            <w:r w:rsidRPr="00AD52C5">
              <w:rPr>
                <w:rFonts w:eastAsia="宋体"/>
                <w:lang w:eastAsia="zh-CN"/>
              </w:rPr>
              <w:t>,</w:t>
            </w:r>
            <w:r w:rsidRPr="00AD52C5">
              <w:t xml:space="preserve"> </w:t>
            </w:r>
            <w:r w:rsidRPr="00AD52C5">
              <w:rPr>
                <w:rFonts w:eastAsia="宋体"/>
                <w:lang w:eastAsia="zh-CN"/>
              </w:rPr>
              <w:t>a</w:t>
            </w:r>
            <w:r w:rsidRPr="00AD52C5">
              <w:t>zithromycin</w:t>
            </w:r>
          </w:p>
        </w:tc>
        <w:tc>
          <w:tcPr>
            <w:tcW w:w="687" w:type="pct"/>
            <w:tcBorders>
              <w:top w:val="single" w:sz="4" w:space="0" w:color="auto"/>
            </w:tcBorders>
            <w:hideMark/>
          </w:tcPr>
          <w:p w:rsidR="00964748" w:rsidRPr="00AD52C5" w:rsidRDefault="00964748" w:rsidP="00C51984">
            <w:pPr>
              <w:pStyle w:val="Para"/>
              <w:ind w:firstLine="0"/>
            </w:pPr>
            <w:r w:rsidRPr="00AD52C5">
              <w:t xml:space="preserve">Gross right nostril bleeding, clear </w:t>
            </w:r>
            <w:r w:rsidRPr="00AD52C5">
              <w:rPr>
                <w:rFonts w:eastAsia="宋体"/>
                <w:lang w:eastAsia="zh-CN"/>
              </w:rPr>
              <w:t>l</w:t>
            </w:r>
            <w:r w:rsidRPr="00AD52C5">
              <w:t>ungs</w:t>
            </w:r>
          </w:p>
        </w:tc>
        <w:tc>
          <w:tcPr>
            <w:tcW w:w="727" w:type="pct"/>
            <w:tcBorders>
              <w:top w:val="single" w:sz="4" w:space="0" w:color="auto"/>
            </w:tcBorders>
            <w:hideMark/>
          </w:tcPr>
          <w:p w:rsidR="00964748" w:rsidRPr="00AD52C5" w:rsidRDefault="00964748" w:rsidP="00C51984">
            <w:pPr>
              <w:pStyle w:val="Para"/>
              <w:ind w:firstLine="0"/>
            </w:pPr>
            <w:r w:rsidRPr="00AD52C5">
              <w:t>H</w:t>
            </w:r>
            <w:r w:rsidRPr="00AD52C5">
              <w:rPr>
                <w:rFonts w:eastAsia="宋体"/>
                <w:lang w:eastAsia="zh-CN"/>
              </w:rPr>
              <w:t>ct</w:t>
            </w:r>
            <w:r w:rsidRPr="00AD52C5">
              <w:t xml:space="preserve">, factor 7 and 9 </w:t>
            </w:r>
            <w:r w:rsidRPr="00AD52C5">
              <w:rPr>
                <w:rFonts w:eastAsia="宋体"/>
                <w:lang w:eastAsia="zh-CN"/>
              </w:rPr>
              <w:t>l</w:t>
            </w:r>
            <w:r w:rsidRPr="00AD52C5">
              <w:t>ow PT</w:t>
            </w:r>
            <w:r w:rsidRPr="00AD52C5">
              <w:rPr>
                <w:rFonts w:eastAsia="宋体"/>
                <w:lang w:eastAsia="zh-CN"/>
              </w:rPr>
              <w:t>,</w:t>
            </w:r>
            <w:r w:rsidRPr="00AD52C5">
              <w:t xml:space="preserve"> PTT</w:t>
            </w:r>
            <w:r w:rsidRPr="00AD52C5">
              <w:rPr>
                <w:rFonts w:eastAsia="宋体"/>
                <w:lang w:eastAsia="zh-CN"/>
              </w:rPr>
              <w:t>,</w:t>
            </w:r>
            <w:r w:rsidRPr="00AD52C5">
              <w:t xml:space="preserve"> INR</w:t>
            </w:r>
            <w:r w:rsidRPr="00AD52C5">
              <w:rPr>
                <w:rFonts w:eastAsia="宋体"/>
                <w:lang w:eastAsia="zh-CN"/>
              </w:rPr>
              <w:t>,</w:t>
            </w:r>
            <w:r w:rsidRPr="00AD52C5">
              <w:t xml:space="preserve"> </w:t>
            </w:r>
            <w:r w:rsidRPr="00AD52C5">
              <w:rPr>
                <w:rFonts w:eastAsia="宋体"/>
                <w:lang w:eastAsia="zh-CN"/>
              </w:rPr>
              <w:t>h</w:t>
            </w:r>
            <w:r w:rsidRPr="00AD52C5">
              <w:t>igh brodifacoum +</w:t>
            </w:r>
          </w:p>
        </w:tc>
        <w:tc>
          <w:tcPr>
            <w:tcW w:w="504" w:type="pct"/>
            <w:tcBorders>
              <w:top w:val="single" w:sz="4" w:space="0" w:color="auto"/>
            </w:tcBorders>
            <w:hideMark/>
          </w:tcPr>
          <w:p w:rsidR="00964748" w:rsidRPr="00AD52C5" w:rsidRDefault="00964748" w:rsidP="00C51984">
            <w:pPr>
              <w:pStyle w:val="Para"/>
              <w:ind w:firstLine="0"/>
            </w:pPr>
            <w:r w:rsidRPr="00AD52C5">
              <w:t xml:space="preserve"> </w:t>
            </w:r>
          </w:p>
        </w:tc>
        <w:tc>
          <w:tcPr>
            <w:tcW w:w="575" w:type="pct"/>
            <w:tcBorders>
              <w:top w:val="single" w:sz="4" w:space="0" w:color="auto"/>
            </w:tcBorders>
            <w:hideMark/>
          </w:tcPr>
          <w:p w:rsidR="00964748" w:rsidRPr="00AD52C5" w:rsidRDefault="00964748" w:rsidP="00C51984">
            <w:pPr>
              <w:pStyle w:val="Para"/>
              <w:ind w:firstLine="0"/>
            </w:pPr>
            <w:r w:rsidRPr="00AD52C5">
              <w:t xml:space="preserve">FFP and 10 mg </w:t>
            </w:r>
            <w:r w:rsidRPr="00AD52C5">
              <w:rPr>
                <w:rFonts w:eastAsia="宋体"/>
                <w:lang w:eastAsia="zh-CN"/>
              </w:rPr>
              <w:t>v</w:t>
            </w:r>
            <w:r w:rsidRPr="00AD52C5">
              <w:t xml:space="preserve">itamin K for 5 days. Discharged on 50 mg Vit </w:t>
            </w:r>
            <w:r w:rsidRPr="00AD52C5">
              <w:rPr>
                <w:rFonts w:eastAsia="宋体"/>
                <w:lang w:eastAsia="zh-CN"/>
              </w:rPr>
              <w:t>K</w:t>
            </w:r>
            <w:r w:rsidRPr="00AD52C5">
              <w:t xml:space="preserve"> daily with slow taper over next 5 months. INR monitored.</w:t>
            </w:r>
          </w:p>
        </w:tc>
      </w:tr>
      <w:tr w:rsidR="003625AF" w:rsidRPr="00AD52C5" w:rsidTr="00771CF1">
        <w:trPr>
          <w:trHeight w:val="1128"/>
        </w:trPr>
        <w:tc>
          <w:tcPr>
            <w:tcW w:w="359" w:type="pct"/>
            <w:hideMark/>
          </w:tcPr>
          <w:p w:rsidR="00964748" w:rsidRPr="00AD52C5" w:rsidRDefault="00964748" w:rsidP="004044E4">
            <w:pPr>
              <w:pStyle w:val="Para"/>
              <w:ind w:firstLine="0"/>
              <w:rPr>
                <w:b/>
              </w:rPr>
            </w:pPr>
            <w:r w:rsidRPr="00AD52C5">
              <w:t>Gunja et al, 2011</w:t>
            </w:r>
            <w:r w:rsidR="00A2416F" w:rsidRPr="00A2416F">
              <w:rPr>
                <w:vertAlign w:val="superscript"/>
              </w:rPr>
              <w:t>w</w:t>
            </w:r>
            <w:r w:rsidR="00A2416F" w:rsidRPr="00A2416F">
              <w:rPr>
                <w:vertAlign w:val="superscript"/>
              </w:rPr>
              <w:t>1</w:t>
            </w:r>
            <w:r w:rsidRPr="00AD52C5">
              <w:t xml:space="preserve"> </w:t>
            </w:r>
          </w:p>
        </w:tc>
        <w:tc>
          <w:tcPr>
            <w:tcW w:w="433" w:type="pct"/>
            <w:hideMark/>
          </w:tcPr>
          <w:p w:rsidR="00964748" w:rsidRPr="00AD52C5" w:rsidRDefault="00964748" w:rsidP="00C51984">
            <w:pPr>
              <w:pStyle w:val="Para"/>
              <w:ind w:firstLine="0"/>
            </w:pPr>
            <w:r w:rsidRPr="00AD52C5">
              <w:t>29/M</w:t>
            </w:r>
          </w:p>
        </w:tc>
        <w:tc>
          <w:tcPr>
            <w:tcW w:w="709" w:type="pct"/>
            <w:hideMark/>
          </w:tcPr>
          <w:p w:rsidR="00964748" w:rsidRPr="00AD52C5" w:rsidRDefault="00964748" w:rsidP="00C51984">
            <w:pPr>
              <w:pStyle w:val="Para"/>
              <w:ind w:firstLine="0"/>
            </w:pPr>
            <w:r w:rsidRPr="00AD52C5">
              <w:t xml:space="preserve">Epistaxis of </w:t>
            </w:r>
            <w:r w:rsidRPr="00AD52C5">
              <w:rPr>
                <w:rFonts w:eastAsia="宋体"/>
                <w:lang w:eastAsia="zh-CN"/>
              </w:rPr>
              <w:t>1-</w:t>
            </w:r>
            <w:r w:rsidRPr="00AD52C5">
              <w:t>day duration with ingestion of rodenticide 5 days prior to presentation. (Talon Rat &amp; Mouse Killer’</w:t>
            </w:r>
            <w:r w:rsidRPr="00AD52C5">
              <w:rPr>
                <w:vertAlign w:val="superscript"/>
              </w:rPr>
              <w:t>®</w:t>
            </w:r>
            <w:r w:rsidRPr="00AD52C5">
              <w:t xml:space="preserve"> pellets co</w:t>
            </w:r>
            <w:r w:rsidRPr="00AD52C5">
              <w:t>n</w:t>
            </w:r>
            <w:r w:rsidRPr="00AD52C5">
              <w:t>taining a total of 7.5 mg brodifacoum.)</w:t>
            </w:r>
          </w:p>
        </w:tc>
        <w:tc>
          <w:tcPr>
            <w:tcW w:w="527" w:type="pct"/>
            <w:hideMark/>
          </w:tcPr>
          <w:p w:rsidR="00964748" w:rsidRPr="00AD52C5" w:rsidRDefault="00964748" w:rsidP="00C51984">
            <w:pPr>
              <w:pStyle w:val="Para"/>
              <w:ind w:firstLine="0"/>
            </w:pPr>
          </w:p>
        </w:tc>
        <w:tc>
          <w:tcPr>
            <w:tcW w:w="480" w:type="pct"/>
            <w:hideMark/>
          </w:tcPr>
          <w:p w:rsidR="00964748" w:rsidRPr="00AD52C5" w:rsidRDefault="00964748" w:rsidP="00C51984">
            <w:pPr>
              <w:pStyle w:val="Para"/>
              <w:ind w:firstLine="0"/>
            </w:pPr>
          </w:p>
        </w:tc>
        <w:tc>
          <w:tcPr>
            <w:tcW w:w="687" w:type="pct"/>
            <w:hideMark/>
          </w:tcPr>
          <w:p w:rsidR="00964748" w:rsidRPr="00AD52C5" w:rsidRDefault="00964748" w:rsidP="00C51984">
            <w:pPr>
              <w:pStyle w:val="Para"/>
              <w:ind w:firstLine="0"/>
            </w:pPr>
            <w:r w:rsidRPr="00AD52C5">
              <w:t>Unr</w:t>
            </w:r>
            <w:r w:rsidRPr="00AD52C5">
              <w:t>e</w:t>
            </w:r>
            <w:r w:rsidRPr="00AD52C5">
              <w:t>markable</w:t>
            </w:r>
          </w:p>
        </w:tc>
        <w:tc>
          <w:tcPr>
            <w:tcW w:w="727" w:type="pct"/>
            <w:hideMark/>
          </w:tcPr>
          <w:p w:rsidR="00964748" w:rsidRPr="00AD52C5" w:rsidRDefault="00964748" w:rsidP="00C51984">
            <w:pPr>
              <w:pStyle w:val="Para"/>
              <w:ind w:firstLine="0"/>
            </w:pPr>
            <w:r w:rsidRPr="00AD52C5">
              <w:t>Microscopic hematuria + INR 7.1</w:t>
            </w:r>
          </w:p>
        </w:tc>
        <w:tc>
          <w:tcPr>
            <w:tcW w:w="504" w:type="pct"/>
            <w:hideMark/>
          </w:tcPr>
          <w:p w:rsidR="00964748" w:rsidRPr="00AD52C5" w:rsidRDefault="00964748" w:rsidP="00C51984">
            <w:pPr>
              <w:pStyle w:val="Para"/>
              <w:ind w:firstLine="0"/>
            </w:pPr>
            <w:r w:rsidRPr="00AD52C5">
              <w:t xml:space="preserve"> </w:t>
            </w:r>
          </w:p>
        </w:tc>
        <w:tc>
          <w:tcPr>
            <w:tcW w:w="575" w:type="pct"/>
            <w:hideMark/>
          </w:tcPr>
          <w:p w:rsidR="00964748" w:rsidRPr="00AD52C5" w:rsidRDefault="00964748" w:rsidP="00C51984">
            <w:pPr>
              <w:pStyle w:val="Para"/>
              <w:ind w:firstLine="0"/>
            </w:pPr>
            <w:r w:rsidRPr="00AD52C5">
              <w:t xml:space="preserve">10 mg IV </w:t>
            </w:r>
            <w:r w:rsidRPr="00AD52C5">
              <w:rPr>
                <w:rFonts w:eastAsia="宋体"/>
                <w:lang w:eastAsia="zh-CN"/>
              </w:rPr>
              <w:t>v</w:t>
            </w:r>
            <w:r w:rsidRPr="00AD52C5">
              <w:t xml:space="preserve">itamin K on presentation then switched to oral </w:t>
            </w:r>
            <w:r w:rsidRPr="00AD52C5">
              <w:rPr>
                <w:rFonts w:eastAsia="宋体"/>
                <w:lang w:eastAsia="zh-CN"/>
              </w:rPr>
              <w:t>v</w:t>
            </w:r>
            <w:r w:rsidRPr="00AD52C5">
              <w:t>itamin K with incremental doses up to 100 mg daily for worsening INR. I</w:t>
            </w:r>
            <w:r w:rsidRPr="00AD52C5">
              <w:t>m</w:t>
            </w:r>
            <w:r w:rsidRPr="00AD52C5">
              <w:t xml:space="preserve">proved in INR noted with downtrending </w:t>
            </w:r>
            <w:r w:rsidRPr="00AD52C5">
              <w:rPr>
                <w:rFonts w:eastAsia="宋体"/>
                <w:lang w:eastAsia="zh-CN"/>
              </w:rPr>
              <w:lastRenderedPageBreak/>
              <w:t>b</w:t>
            </w:r>
            <w:r w:rsidRPr="00AD52C5">
              <w:t>rodifacoum levels.</w:t>
            </w:r>
          </w:p>
        </w:tc>
      </w:tr>
      <w:tr w:rsidR="003625AF" w:rsidRPr="00AD52C5" w:rsidTr="00771CF1">
        <w:trPr>
          <w:trHeight w:val="204"/>
        </w:trPr>
        <w:tc>
          <w:tcPr>
            <w:tcW w:w="359" w:type="pct"/>
            <w:hideMark/>
          </w:tcPr>
          <w:p w:rsidR="00964748" w:rsidRPr="00AD52C5" w:rsidRDefault="00964748" w:rsidP="004044E4">
            <w:pPr>
              <w:pStyle w:val="Para"/>
              <w:ind w:firstLine="0"/>
              <w:rPr>
                <w:rFonts w:eastAsia="宋体"/>
                <w:lang w:eastAsia="zh-CN"/>
              </w:rPr>
            </w:pPr>
            <w:r w:rsidRPr="00AD52C5">
              <w:lastRenderedPageBreak/>
              <w:t>Gunja et al, 2011</w:t>
            </w:r>
            <w:r w:rsidR="00A2416F" w:rsidRPr="00A2416F">
              <w:rPr>
                <w:vertAlign w:val="superscript"/>
              </w:rPr>
              <w:t>w</w:t>
            </w:r>
            <w:r w:rsidR="00A2416F" w:rsidRPr="00A2416F">
              <w:rPr>
                <w:vertAlign w:val="superscript"/>
              </w:rPr>
              <w:t>1</w:t>
            </w:r>
          </w:p>
        </w:tc>
        <w:tc>
          <w:tcPr>
            <w:tcW w:w="433" w:type="pct"/>
            <w:hideMark/>
          </w:tcPr>
          <w:p w:rsidR="00964748" w:rsidRPr="00AD52C5" w:rsidRDefault="00964748" w:rsidP="00C51984">
            <w:pPr>
              <w:pStyle w:val="Para"/>
              <w:ind w:firstLine="0"/>
            </w:pPr>
            <w:r w:rsidRPr="00AD52C5">
              <w:t>53/F</w:t>
            </w:r>
          </w:p>
        </w:tc>
        <w:tc>
          <w:tcPr>
            <w:tcW w:w="709" w:type="pct"/>
            <w:hideMark/>
          </w:tcPr>
          <w:p w:rsidR="00964748" w:rsidRPr="00AD52C5" w:rsidRDefault="00964748" w:rsidP="00C51984">
            <w:pPr>
              <w:pStyle w:val="Para"/>
              <w:ind w:firstLine="0"/>
            </w:pPr>
            <w:r w:rsidRPr="00AD52C5">
              <w:t xml:space="preserve"> </w:t>
            </w:r>
          </w:p>
        </w:tc>
        <w:tc>
          <w:tcPr>
            <w:tcW w:w="527" w:type="pct"/>
            <w:hideMark/>
          </w:tcPr>
          <w:p w:rsidR="00964748" w:rsidRPr="00AD52C5" w:rsidRDefault="00964748" w:rsidP="00C51984">
            <w:pPr>
              <w:pStyle w:val="Para"/>
              <w:ind w:firstLine="0"/>
              <w:rPr>
                <w:rFonts w:eastAsia="宋体"/>
                <w:lang w:eastAsia="zh-CN"/>
              </w:rPr>
            </w:pPr>
            <w:r w:rsidRPr="00AD52C5">
              <w:t>Schizoaffective disorder</w:t>
            </w:r>
          </w:p>
        </w:tc>
        <w:tc>
          <w:tcPr>
            <w:tcW w:w="480" w:type="pct"/>
            <w:hideMark/>
          </w:tcPr>
          <w:p w:rsidR="00964748" w:rsidRPr="00AD52C5" w:rsidRDefault="00964748" w:rsidP="00C51984">
            <w:pPr>
              <w:pStyle w:val="Para"/>
              <w:ind w:firstLine="0"/>
              <w:rPr>
                <w:rFonts w:eastAsia="宋体"/>
                <w:lang w:eastAsia="zh-CN"/>
              </w:rPr>
            </w:pPr>
            <w:r w:rsidRPr="00AD52C5">
              <w:t>Nortriptyline 50 mg</w:t>
            </w:r>
            <w:r w:rsidRPr="00AD52C5">
              <w:rPr>
                <w:rFonts w:eastAsia="宋体"/>
                <w:lang w:eastAsia="zh-CN"/>
              </w:rPr>
              <w:t>,</w:t>
            </w:r>
            <w:r w:rsidRPr="00AD52C5">
              <w:t xml:space="preserve"> </w:t>
            </w:r>
            <w:r w:rsidRPr="00AD52C5">
              <w:rPr>
                <w:rFonts w:eastAsia="宋体"/>
                <w:lang w:eastAsia="zh-CN"/>
              </w:rPr>
              <w:t>o</w:t>
            </w:r>
            <w:r w:rsidRPr="00AD52C5">
              <w:t>lanz</w:t>
            </w:r>
            <w:r w:rsidRPr="00AD52C5">
              <w:t>a</w:t>
            </w:r>
            <w:r w:rsidRPr="00AD52C5">
              <w:t>pine 10 mg</w:t>
            </w:r>
          </w:p>
        </w:tc>
        <w:tc>
          <w:tcPr>
            <w:tcW w:w="687" w:type="pct"/>
            <w:hideMark/>
          </w:tcPr>
          <w:p w:rsidR="00964748" w:rsidRPr="00AD52C5" w:rsidRDefault="00964748" w:rsidP="00C51984">
            <w:pPr>
              <w:pStyle w:val="Para"/>
              <w:ind w:firstLine="0"/>
            </w:pPr>
            <w:r w:rsidRPr="00AD52C5">
              <w:t xml:space="preserve"> </w:t>
            </w:r>
          </w:p>
        </w:tc>
        <w:tc>
          <w:tcPr>
            <w:tcW w:w="727" w:type="pct"/>
            <w:hideMark/>
          </w:tcPr>
          <w:p w:rsidR="00964748" w:rsidRPr="00AD52C5" w:rsidRDefault="00964748" w:rsidP="00C51984">
            <w:pPr>
              <w:pStyle w:val="Para"/>
              <w:ind w:firstLine="0"/>
            </w:pPr>
            <w:r w:rsidRPr="00AD52C5">
              <w:t xml:space="preserve">INR - 5.8 (2 days </w:t>
            </w:r>
            <w:r w:rsidRPr="00AD52C5">
              <w:rPr>
                <w:rFonts w:eastAsia="宋体"/>
                <w:lang w:eastAsia="zh-CN"/>
              </w:rPr>
              <w:t>after</w:t>
            </w:r>
            <w:r w:rsidRPr="00AD52C5">
              <w:t xml:space="preserve"> ingestion )</w:t>
            </w:r>
          </w:p>
        </w:tc>
        <w:tc>
          <w:tcPr>
            <w:tcW w:w="504" w:type="pct"/>
            <w:hideMark/>
          </w:tcPr>
          <w:p w:rsidR="00964748" w:rsidRPr="00AD52C5" w:rsidRDefault="00964748" w:rsidP="00C51984">
            <w:pPr>
              <w:pStyle w:val="Para"/>
              <w:ind w:firstLine="0"/>
            </w:pPr>
            <w:r w:rsidRPr="00AD52C5">
              <w:t xml:space="preserve"> </w:t>
            </w:r>
          </w:p>
        </w:tc>
        <w:tc>
          <w:tcPr>
            <w:tcW w:w="575" w:type="pct"/>
            <w:hideMark/>
          </w:tcPr>
          <w:p w:rsidR="00964748" w:rsidRPr="00AD52C5" w:rsidRDefault="00964748" w:rsidP="00C51984">
            <w:pPr>
              <w:pStyle w:val="Para"/>
              <w:ind w:firstLine="0"/>
            </w:pPr>
            <w:r w:rsidRPr="00AD52C5">
              <w:t xml:space="preserve">Started on oral vitamin K at 20 mg daily with gradual increase in dose to 100 mg for worsening INR. Stabilization INR with </w:t>
            </w:r>
            <w:r w:rsidRPr="00AD52C5">
              <w:rPr>
                <w:rFonts w:eastAsia="宋体"/>
                <w:lang w:eastAsia="zh-CN"/>
              </w:rPr>
              <w:t>v</w:t>
            </w:r>
            <w:r w:rsidRPr="00AD52C5">
              <w:t xml:space="preserve">itamin K continuation for 3 months until </w:t>
            </w:r>
            <w:r w:rsidRPr="00AD52C5">
              <w:rPr>
                <w:rFonts w:eastAsia="宋体"/>
                <w:lang w:eastAsia="zh-CN"/>
              </w:rPr>
              <w:t>b</w:t>
            </w:r>
            <w:r w:rsidRPr="00AD52C5">
              <w:t>rodifacoum levels were below 10.</w:t>
            </w:r>
          </w:p>
        </w:tc>
      </w:tr>
      <w:tr w:rsidR="003625AF" w:rsidRPr="00AD52C5" w:rsidTr="00771CF1">
        <w:trPr>
          <w:trHeight w:val="1127"/>
        </w:trPr>
        <w:tc>
          <w:tcPr>
            <w:tcW w:w="359" w:type="pct"/>
            <w:hideMark/>
          </w:tcPr>
          <w:p w:rsidR="00964748" w:rsidRPr="00AD52C5" w:rsidRDefault="00964748" w:rsidP="004044E4">
            <w:pPr>
              <w:pStyle w:val="Para"/>
              <w:ind w:firstLine="0"/>
              <w:rPr>
                <w:rFonts w:eastAsia="宋体"/>
                <w:lang w:eastAsia="zh-CN"/>
              </w:rPr>
            </w:pPr>
            <w:r w:rsidRPr="00AD52C5">
              <w:t>Binks et al, 2007</w:t>
            </w:r>
            <w:r w:rsidR="00A2416F" w:rsidRPr="00A2416F">
              <w:rPr>
                <w:vertAlign w:val="superscript"/>
              </w:rPr>
              <w:t>w</w:t>
            </w:r>
            <w:r w:rsidR="00A2416F" w:rsidRPr="00A2416F">
              <w:rPr>
                <w:vertAlign w:val="superscript"/>
              </w:rPr>
              <w:t>2</w:t>
            </w:r>
          </w:p>
        </w:tc>
        <w:tc>
          <w:tcPr>
            <w:tcW w:w="433" w:type="pct"/>
            <w:hideMark/>
          </w:tcPr>
          <w:p w:rsidR="00964748" w:rsidRPr="00AD52C5" w:rsidRDefault="00964748" w:rsidP="00C51984">
            <w:pPr>
              <w:pStyle w:val="Para"/>
              <w:ind w:firstLine="0"/>
            </w:pPr>
            <w:r w:rsidRPr="00AD52C5">
              <w:t>57/M</w:t>
            </w:r>
          </w:p>
        </w:tc>
        <w:tc>
          <w:tcPr>
            <w:tcW w:w="709" w:type="pct"/>
            <w:hideMark/>
          </w:tcPr>
          <w:p w:rsidR="00964748" w:rsidRPr="00AD52C5" w:rsidRDefault="00964748" w:rsidP="00C51984">
            <w:pPr>
              <w:pStyle w:val="Para"/>
              <w:ind w:firstLine="0"/>
            </w:pPr>
            <w:r w:rsidRPr="00AD52C5">
              <w:rPr>
                <w:rFonts w:eastAsia="宋体"/>
                <w:lang w:eastAsia="zh-CN"/>
              </w:rPr>
              <w:t xml:space="preserve">A </w:t>
            </w:r>
            <w:r w:rsidRPr="00AD52C5">
              <w:t xml:space="preserve">2-day history of bilateral loin pain and frank hematuria. </w:t>
            </w:r>
            <w:r w:rsidRPr="00AD52C5">
              <w:rPr>
                <w:rFonts w:eastAsia="宋体"/>
                <w:lang w:eastAsia="zh-CN"/>
              </w:rPr>
              <w:t>Nine</w:t>
            </w:r>
            <w:r w:rsidRPr="00AD52C5">
              <w:t xml:space="preserve"> </w:t>
            </w:r>
            <w:r w:rsidRPr="00AD52C5">
              <w:lastRenderedPageBreak/>
              <w:t>days earlier, he had accidentally spill of approximately 250 m</w:t>
            </w:r>
            <w:r w:rsidRPr="00AD52C5">
              <w:rPr>
                <w:rFonts w:eastAsia="宋体"/>
                <w:lang w:eastAsia="zh-CN"/>
              </w:rPr>
              <w:t>L</w:t>
            </w:r>
            <w:r w:rsidRPr="00AD52C5">
              <w:t xml:space="preserve"> of conce</w:t>
            </w:r>
            <w:r w:rsidRPr="00AD52C5">
              <w:t>n</w:t>
            </w:r>
            <w:r w:rsidRPr="00AD52C5">
              <w:t xml:space="preserve">trated liquid rat poison over his torso and arms. </w:t>
            </w:r>
          </w:p>
        </w:tc>
        <w:tc>
          <w:tcPr>
            <w:tcW w:w="527" w:type="pct"/>
            <w:hideMark/>
          </w:tcPr>
          <w:p w:rsidR="00964748" w:rsidRPr="00AD52C5" w:rsidRDefault="00964748" w:rsidP="00C51984">
            <w:pPr>
              <w:pStyle w:val="Para"/>
              <w:ind w:firstLine="0"/>
            </w:pPr>
            <w:r w:rsidRPr="00AD52C5">
              <w:lastRenderedPageBreak/>
              <w:t xml:space="preserve"> </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Mild p</w:t>
            </w:r>
            <w:r w:rsidRPr="00AD52C5">
              <w:t>e</w:t>
            </w:r>
            <w:r w:rsidRPr="00AD52C5">
              <w:t xml:space="preserve">riumbilical tenderness </w:t>
            </w:r>
          </w:p>
        </w:tc>
        <w:tc>
          <w:tcPr>
            <w:tcW w:w="727" w:type="pct"/>
            <w:hideMark/>
          </w:tcPr>
          <w:p w:rsidR="00964748" w:rsidRPr="00AD52C5" w:rsidRDefault="00964748" w:rsidP="00C51984">
            <w:pPr>
              <w:pStyle w:val="Para"/>
              <w:ind w:firstLine="0"/>
            </w:pPr>
            <w:r w:rsidRPr="00AD52C5">
              <w:t>PT &gt;</w:t>
            </w:r>
            <w:r w:rsidRPr="00AD52C5">
              <w:rPr>
                <w:rFonts w:eastAsia="宋体"/>
                <w:lang w:eastAsia="zh-CN"/>
              </w:rPr>
              <w:t xml:space="preserve"> </w:t>
            </w:r>
            <w:r w:rsidRPr="00AD52C5">
              <w:t xml:space="preserve">200 s + </w:t>
            </w:r>
            <w:r w:rsidRPr="00AD52C5">
              <w:rPr>
                <w:rFonts w:eastAsia="宋体"/>
                <w:lang w:eastAsia="zh-CN"/>
              </w:rPr>
              <w:t>a</w:t>
            </w:r>
            <w:r w:rsidRPr="00AD52C5">
              <w:t xml:space="preserve">PTT of 56 s with normal fibrinogen. </w:t>
            </w:r>
            <w:r w:rsidRPr="00AD52C5">
              <w:lastRenderedPageBreak/>
              <w:t xml:space="preserve">Urine dipstick analysis showed blood 4+ </w:t>
            </w:r>
          </w:p>
        </w:tc>
        <w:tc>
          <w:tcPr>
            <w:tcW w:w="504" w:type="pct"/>
            <w:hideMark/>
          </w:tcPr>
          <w:p w:rsidR="00964748" w:rsidRPr="00AD52C5" w:rsidRDefault="00964748" w:rsidP="00C51984">
            <w:pPr>
              <w:pStyle w:val="Para"/>
              <w:ind w:firstLine="0"/>
            </w:pPr>
            <w:r w:rsidRPr="00AD52C5">
              <w:lastRenderedPageBreak/>
              <w:t xml:space="preserve"> </w:t>
            </w:r>
          </w:p>
        </w:tc>
        <w:tc>
          <w:tcPr>
            <w:tcW w:w="575" w:type="pct"/>
            <w:hideMark/>
          </w:tcPr>
          <w:p w:rsidR="00964748" w:rsidRPr="00AD52C5" w:rsidRDefault="00964748" w:rsidP="00C51984">
            <w:pPr>
              <w:pStyle w:val="Para"/>
              <w:ind w:firstLine="0"/>
            </w:pPr>
            <w:r w:rsidRPr="00AD52C5">
              <w:rPr>
                <w:rFonts w:eastAsia="宋体"/>
                <w:lang w:eastAsia="zh-CN"/>
              </w:rPr>
              <w:t>Four</w:t>
            </w:r>
            <w:r w:rsidRPr="00AD52C5">
              <w:t xml:space="preserve"> </w:t>
            </w:r>
            <w:r w:rsidRPr="00AD52C5">
              <w:rPr>
                <w:rFonts w:eastAsia="宋体"/>
                <w:lang w:eastAsia="zh-CN"/>
              </w:rPr>
              <w:t>u</w:t>
            </w:r>
            <w:r w:rsidRPr="00AD52C5">
              <w:t xml:space="preserve">nits of FFP and 20 mg IV </w:t>
            </w:r>
            <w:r w:rsidRPr="00AD52C5">
              <w:rPr>
                <w:rFonts w:eastAsia="宋体"/>
                <w:lang w:eastAsia="zh-CN"/>
              </w:rPr>
              <w:t>v</w:t>
            </w:r>
            <w:r w:rsidRPr="00AD52C5">
              <w:t xml:space="preserve">itamin K </w:t>
            </w:r>
            <w:r w:rsidRPr="00AD52C5">
              <w:lastRenderedPageBreak/>
              <w:t>initially with rapid correction of coagulation profile only to worsen in 2 days needing more IV vitamin K administration. Readmission for hematuria m</w:t>
            </w:r>
            <w:r w:rsidRPr="00AD52C5">
              <w:t>a</w:t>
            </w:r>
            <w:r w:rsidRPr="00AD52C5">
              <w:t xml:space="preserve">naged with </w:t>
            </w:r>
            <w:r w:rsidRPr="00AD52C5">
              <w:rPr>
                <w:rFonts w:eastAsia="宋体"/>
                <w:lang w:eastAsia="zh-CN"/>
              </w:rPr>
              <w:t>v</w:t>
            </w:r>
            <w:r w:rsidRPr="00AD52C5">
              <w:t>itamin K 20 to 30 mg PO with INR monitoring every alternate day for one more month.</w:t>
            </w:r>
          </w:p>
        </w:tc>
      </w:tr>
      <w:tr w:rsidR="003625AF" w:rsidRPr="00AD52C5" w:rsidTr="00771CF1">
        <w:trPr>
          <w:trHeight w:val="204"/>
        </w:trPr>
        <w:tc>
          <w:tcPr>
            <w:tcW w:w="359" w:type="pct"/>
            <w:hideMark/>
          </w:tcPr>
          <w:p w:rsidR="00964748" w:rsidRPr="00AD52C5" w:rsidRDefault="00964748" w:rsidP="008C0F0A">
            <w:pPr>
              <w:pStyle w:val="Para"/>
              <w:ind w:firstLine="0"/>
              <w:rPr>
                <w:rFonts w:eastAsia="宋体"/>
                <w:lang w:eastAsia="zh-CN"/>
              </w:rPr>
            </w:pPr>
            <w:r w:rsidRPr="00AD52C5">
              <w:lastRenderedPageBreak/>
              <w:t>Olmos et al, 2007</w:t>
            </w:r>
            <w:r w:rsidR="00A2416F" w:rsidRPr="00A2416F">
              <w:rPr>
                <w:vertAlign w:val="superscript"/>
              </w:rPr>
              <w:t>w</w:t>
            </w:r>
            <w:r w:rsidR="00A2416F" w:rsidRPr="00A2416F">
              <w:rPr>
                <w:vertAlign w:val="superscript"/>
              </w:rPr>
              <w:t>3</w:t>
            </w:r>
          </w:p>
        </w:tc>
        <w:tc>
          <w:tcPr>
            <w:tcW w:w="433" w:type="pct"/>
            <w:hideMark/>
          </w:tcPr>
          <w:p w:rsidR="00964748" w:rsidRPr="00AD52C5" w:rsidRDefault="00964748" w:rsidP="00C51984">
            <w:pPr>
              <w:pStyle w:val="Para"/>
              <w:ind w:firstLine="0"/>
            </w:pPr>
            <w:r w:rsidRPr="00AD52C5">
              <w:t>46/F</w:t>
            </w:r>
          </w:p>
        </w:tc>
        <w:tc>
          <w:tcPr>
            <w:tcW w:w="709" w:type="pct"/>
            <w:hideMark/>
          </w:tcPr>
          <w:p w:rsidR="00964748" w:rsidRPr="00AD52C5" w:rsidRDefault="00964748" w:rsidP="00C51984">
            <w:pPr>
              <w:pStyle w:val="Para"/>
              <w:ind w:firstLine="0"/>
              <w:rPr>
                <w:rFonts w:eastAsia="宋体"/>
                <w:lang w:eastAsia="zh-CN"/>
              </w:rPr>
            </w:pPr>
            <w:r w:rsidRPr="00AD52C5">
              <w:t xml:space="preserve">Gastric hemorrhage with severe coagulopathy. </w:t>
            </w:r>
            <w:r w:rsidRPr="00AD52C5">
              <w:lastRenderedPageBreak/>
              <w:t>Rodenticide consumption over 2 days prior to present</w:t>
            </w:r>
            <w:r w:rsidRPr="00AD52C5">
              <w:t>a</w:t>
            </w:r>
            <w:r w:rsidRPr="00AD52C5">
              <w:t>tion</w:t>
            </w:r>
            <w:r w:rsidRPr="00AD52C5">
              <w:rPr>
                <w:rFonts w:eastAsia="宋体"/>
                <w:lang w:eastAsia="zh-CN"/>
              </w:rPr>
              <w:t>.</w:t>
            </w:r>
          </w:p>
        </w:tc>
        <w:tc>
          <w:tcPr>
            <w:tcW w:w="527" w:type="pct"/>
            <w:hideMark/>
          </w:tcPr>
          <w:p w:rsidR="00964748" w:rsidRPr="00AD52C5" w:rsidRDefault="00964748" w:rsidP="00C51984">
            <w:pPr>
              <w:pStyle w:val="Para"/>
              <w:ind w:firstLine="0"/>
            </w:pPr>
            <w:r w:rsidRPr="00AD52C5">
              <w:lastRenderedPageBreak/>
              <w:t xml:space="preserve"> </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 xml:space="preserve"> </w:t>
            </w:r>
          </w:p>
        </w:tc>
        <w:tc>
          <w:tcPr>
            <w:tcW w:w="727" w:type="pct"/>
            <w:hideMark/>
          </w:tcPr>
          <w:p w:rsidR="00964748" w:rsidRPr="00AD52C5" w:rsidRDefault="00964748" w:rsidP="00C51984">
            <w:pPr>
              <w:pStyle w:val="Para"/>
              <w:ind w:firstLine="0"/>
            </w:pPr>
            <w:r w:rsidRPr="00AD52C5">
              <w:t xml:space="preserve">PT and </w:t>
            </w:r>
            <w:r w:rsidRPr="00AD52C5">
              <w:rPr>
                <w:rFonts w:eastAsia="宋体"/>
                <w:lang w:eastAsia="zh-CN"/>
              </w:rPr>
              <w:t>a</w:t>
            </w:r>
            <w:r w:rsidRPr="00AD52C5">
              <w:t xml:space="preserve">PTT </w:t>
            </w:r>
            <w:r w:rsidRPr="00AD52C5">
              <w:rPr>
                <w:rFonts w:eastAsia="宋体"/>
                <w:lang w:eastAsia="zh-CN"/>
              </w:rPr>
              <w:t>p</w:t>
            </w:r>
            <w:r w:rsidRPr="00AD52C5">
              <w:t>rolonged</w:t>
            </w:r>
          </w:p>
        </w:tc>
        <w:tc>
          <w:tcPr>
            <w:tcW w:w="504" w:type="pct"/>
            <w:hideMark/>
          </w:tcPr>
          <w:p w:rsidR="00964748" w:rsidRPr="00AD52C5" w:rsidRDefault="00964748" w:rsidP="00C51984">
            <w:pPr>
              <w:pStyle w:val="Para"/>
              <w:ind w:firstLine="0"/>
            </w:pPr>
            <w:r w:rsidRPr="00AD52C5">
              <w:t xml:space="preserve">Chest </w:t>
            </w:r>
            <w:r w:rsidRPr="00AD52C5">
              <w:rPr>
                <w:rFonts w:eastAsia="宋体"/>
                <w:lang w:eastAsia="zh-CN"/>
              </w:rPr>
              <w:t>X</w:t>
            </w:r>
            <w:r w:rsidRPr="00AD52C5">
              <w:t xml:space="preserve">-ray showed massive pulmonary </w:t>
            </w:r>
            <w:r w:rsidRPr="00AD52C5">
              <w:lastRenderedPageBreak/>
              <w:t>hemorrhage</w:t>
            </w:r>
            <w:r w:rsidRPr="00AD52C5">
              <w:rPr>
                <w:rFonts w:eastAsia="宋体"/>
                <w:lang w:eastAsia="zh-CN"/>
              </w:rPr>
              <w:t>.</w:t>
            </w:r>
          </w:p>
        </w:tc>
        <w:tc>
          <w:tcPr>
            <w:tcW w:w="575" w:type="pct"/>
            <w:hideMark/>
          </w:tcPr>
          <w:p w:rsidR="00964748" w:rsidRPr="00AD52C5" w:rsidRDefault="00964748" w:rsidP="00C51984">
            <w:pPr>
              <w:pStyle w:val="Para"/>
              <w:ind w:firstLine="0"/>
            </w:pPr>
            <w:r w:rsidRPr="00AD52C5">
              <w:lastRenderedPageBreak/>
              <w:t xml:space="preserve">Mechanical </w:t>
            </w:r>
            <w:r w:rsidRPr="00AD52C5">
              <w:rPr>
                <w:rFonts w:eastAsia="宋体"/>
                <w:lang w:eastAsia="zh-CN"/>
              </w:rPr>
              <w:t>v</w:t>
            </w:r>
            <w:r w:rsidRPr="00AD52C5">
              <w:t xml:space="preserve">entilation, FFP and IV vitamin K </w:t>
            </w:r>
            <w:r w:rsidRPr="00AD52C5">
              <w:lastRenderedPageBreak/>
              <w:t xml:space="preserve">used for initial management. Switched to oral vitamin K in following months with gradual decline in </w:t>
            </w:r>
            <w:r w:rsidRPr="00AD52C5">
              <w:rPr>
                <w:rFonts w:eastAsia="宋体"/>
                <w:lang w:eastAsia="zh-CN"/>
              </w:rPr>
              <w:t>b</w:t>
            </w:r>
            <w:r w:rsidRPr="00AD52C5">
              <w:t>rodifacoum levels and i</w:t>
            </w:r>
            <w:r w:rsidRPr="00AD52C5">
              <w:t>m</w:t>
            </w:r>
            <w:r w:rsidRPr="00AD52C5">
              <w:t>provement in coagulation profile.</w:t>
            </w:r>
          </w:p>
        </w:tc>
      </w:tr>
      <w:tr w:rsidR="003625AF" w:rsidRPr="00AD52C5" w:rsidTr="00771CF1">
        <w:trPr>
          <w:trHeight w:val="825"/>
        </w:trPr>
        <w:tc>
          <w:tcPr>
            <w:tcW w:w="359" w:type="pct"/>
            <w:hideMark/>
          </w:tcPr>
          <w:p w:rsidR="00964748" w:rsidRPr="00AD52C5" w:rsidRDefault="00964748" w:rsidP="008C0F0A">
            <w:pPr>
              <w:pStyle w:val="Para"/>
              <w:ind w:firstLine="0"/>
              <w:rPr>
                <w:rFonts w:eastAsia="宋体"/>
                <w:lang w:eastAsia="zh-CN"/>
              </w:rPr>
            </w:pPr>
            <w:r w:rsidRPr="00AD52C5">
              <w:lastRenderedPageBreak/>
              <w:t>Spahr et al, 2007</w:t>
            </w:r>
            <w:r w:rsidR="00A2416F" w:rsidRPr="00A2416F">
              <w:rPr>
                <w:vertAlign w:val="superscript"/>
              </w:rPr>
              <w:t>w</w:t>
            </w:r>
            <w:r w:rsidR="00A2416F" w:rsidRPr="00A2416F">
              <w:rPr>
                <w:vertAlign w:val="superscript"/>
              </w:rPr>
              <w:t>4</w:t>
            </w:r>
          </w:p>
        </w:tc>
        <w:tc>
          <w:tcPr>
            <w:tcW w:w="433" w:type="pct"/>
            <w:hideMark/>
          </w:tcPr>
          <w:p w:rsidR="00964748" w:rsidRPr="00AD52C5" w:rsidRDefault="00964748" w:rsidP="00C51984">
            <w:pPr>
              <w:pStyle w:val="Para"/>
              <w:ind w:firstLine="0"/>
            </w:pPr>
            <w:r w:rsidRPr="00AD52C5">
              <w:t xml:space="preserve">22/M </w:t>
            </w:r>
          </w:p>
        </w:tc>
        <w:tc>
          <w:tcPr>
            <w:tcW w:w="709" w:type="pct"/>
            <w:hideMark/>
          </w:tcPr>
          <w:p w:rsidR="00964748" w:rsidRPr="00AD52C5" w:rsidRDefault="00964748" w:rsidP="00C51984">
            <w:pPr>
              <w:pStyle w:val="Para"/>
              <w:ind w:firstLine="0"/>
            </w:pPr>
            <w:r w:rsidRPr="00AD52C5">
              <w:t xml:space="preserve">Flank pain and hematuria for 5 </w:t>
            </w:r>
            <w:r w:rsidRPr="00AD52C5">
              <w:rPr>
                <w:rFonts w:eastAsia="宋体"/>
                <w:lang w:eastAsia="zh-CN"/>
              </w:rPr>
              <w:t>d</w:t>
            </w:r>
            <w:r w:rsidRPr="00AD52C5">
              <w:t xml:space="preserve">ays - initially misdiagnosed as UTI - </w:t>
            </w:r>
            <w:r w:rsidRPr="00AD52C5">
              <w:rPr>
                <w:rFonts w:eastAsia="宋体"/>
                <w:lang w:eastAsia="zh-CN"/>
              </w:rPr>
              <w:t>s</w:t>
            </w:r>
            <w:r w:rsidRPr="00AD52C5">
              <w:t xml:space="preserve">ent home - 48 h later - epistaxis, coffee-ground emesis, gross hematuria, and renewed onset abdominal and </w:t>
            </w:r>
            <w:r w:rsidRPr="00AD52C5">
              <w:lastRenderedPageBreak/>
              <w:t>flank pain. I</w:t>
            </w:r>
            <w:r w:rsidRPr="00AD52C5">
              <w:t>n</w:t>
            </w:r>
            <w:r w:rsidRPr="00AD52C5">
              <w:t xml:space="preserve">gested </w:t>
            </w:r>
            <w:bookmarkStart w:id="0" w:name="OLE_LINK5"/>
            <w:bookmarkStart w:id="1" w:name="OLE_LINK6"/>
            <w:r w:rsidRPr="00AD52C5">
              <w:rPr>
                <w:rFonts w:eastAsia="宋体"/>
                <w:lang w:eastAsia="zh-CN"/>
              </w:rPr>
              <w:t>six</w:t>
            </w:r>
            <w:r w:rsidRPr="00AD52C5">
              <w:t xml:space="preserve"> boxes D-C</w:t>
            </w:r>
            <w:r w:rsidRPr="00AD52C5">
              <w:rPr>
                <w:rFonts w:eastAsia="宋体"/>
                <w:lang w:eastAsia="zh-CN"/>
              </w:rPr>
              <w:t>ON</w:t>
            </w:r>
            <w:r w:rsidRPr="00AD52C5">
              <w:t xml:space="preserve"> </w:t>
            </w:r>
            <w:r w:rsidRPr="00AD52C5">
              <w:rPr>
                <w:rFonts w:eastAsia="宋体"/>
                <w:lang w:eastAsia="zh-CN"/>
              </w:rPr>
              <w:t>M</w:t>
            </w:r>
            <w:r w:rsidRPr="00AD52C5">
              <w:t>ouseproof</w:t>
            </w:r>
            <w:bookmarkEnd w:id="0"/>
            <w:bookmarkEnd w:id="1"/>
            <w:r w:rsidRPr="00AD52C5">
              <w:t>.</w:t>
            </w:r>
          </w:p>
        </w:tc>
        <w:tc>
          <w:tcPr>
            <w:tcW w:w="527" w:type="pct"/>
            <w:hideMark/>
          </w:tcPr>
          <w:p w:rsidR="00964748" w:rsidRPr="00AD52C5" w:rsidRDefault="00964748" w:rsidP="00C51984">
            <w:pPr>
              <w:pStyle w:val="Para"/>
              <w:ind w:firstLine="0"/>
            </w:pPr>
            <w:r w:rsidRPr="00AD52C5">
              <w:lastRenderedPageBreak/>
              <w:t xml:space="preserve"> </w:t>
            </w:r>
          </w:p>
        </w:tc>
        <w:tc>
          <w:tcPr>
            <w:tcW w:w="480" w:type="pct"/>
            <w:hideMark/>
          </w:tcPr>
          <w:p w:rsidR="00964748" w:rsidRPr="00AD52C5" w:rsidRDefault="00964748" w:rsidP="00C51984">
            <w:pPr>
              <w:pStyle w:val="Para"/>
              <w:ind w:firstLine="0"/>
            </w:pPr>
            <w:r w:rsidRPr="00AD52C5">
              <w:t>None</w:t>
            </w:r>
          </w:p>
        </w:tc>
        <w:tc>
          <w:tcPr>
            <w:tcW w:w="687" w:type="pct"/>
            <w:hideMark/>
          </w:tcPr>
          <w:p w:rsidR="00964748" w:rsidRPr="00AD52C5" w:rsidRDefault="00964748" w:rsidP="00C51984">
            <w:pPr>
              <w:pStyle w:val="Para"/>
              <w:ind w:firstLine="0"/>
            </w:pPr>
            <w:r w:rsidRPr="00AD52C5">
              <w:t>Unr</w:t>
            </w:r>
            <w:r w:rsidRPr="00AD52C5">
              <w:t>e</w:t>
            </w:r>
            <w:r w:rsidRPr="00AD52C5">
              <w:t>markable</w:t>
            </w:r>
          </w:p>
        </w:tc>
        <w:tc>
          <w:tcPr>
            <w:tcW w:w="727" w:type="pct"/>
            <w:hideMark/>
          </w:tcPr>
          <w:p w:rsidR="00964748" w:rsidRPr="00AD52C5" w:rsidRDefault="00964748" w:rsidP="00C51984">
            <w:pPr>
              <w:pStyle w:val="Para"/>
              <w:ind w:firstLine="0"/>
            </w:pPr>
            <w:r w:rsidRPr="00AD52C5">
              <w:t>H</w:t>
            </w:r>
            <w:r w:rsidRPr="00AD52C5">
              <w:rPr>
                <w:rFonts w:eastAsia="宋体"/>
                <w:lang w:eastAsia="zh-CN"/>
              </w:rPr>
              <w:t>ct</w:t>
            </w:r>
            <w:r w:rsidRPr="00AD52C5">
              <w:t xml:space="preserve"> 28%, PT and </w:t>
            </w:r>
            <w:r w:rsidRPr="00AD52C5">
              <w:rPr>
                <w:rFonts w:eastAsia="宋体"/>
                <w:lang w:eastAsia="zh-CN"/>
              </w:rPr>
              <w:t>a</w:t>
            </w:r>
            <w:r w:rsidRPr="00AD52C5">
              <w:t>PTT pr</w:t>
            </w:r>
            <w:r w:rsidRPr="00AD52C5">
              <w:t>o</w:t>
            </w:r>
            <w:r w:rsidRPr="00AD52C5">
              <w:t>longed. Factor 2,</w:t>
            </w:r>
            <w:r w:rsidRPr="00AD52C5">
              <w:rPr>
                <w:rFonts w:eastAsia="宋体"/>
                <w:lang w:eastAsia="zh-CN"/>
              </w:rPr>
              <w:t xml:space="preserve"> </w:t>
            </w:r>
            <w:r w:rsidRPr="00AD52C5">
              <w:t xml:space="preserve">7, 9, 10 and 5 low </w:t>
            </w:r>
          </w:p>
        </w:tc>
        <w:tc>
          <w:tcPr>
            <w:tcW w:w="504" w:type="pct"/>
            <w:hideMark/>
          </w:tcPr>
          <w:p w:rsidR="00964748" w:rsidRPr="00AD52C5" w:rsidRDefault="00964748" w:rsidP="00C51984">
            <w:pPr>
              <w:pStyle w:val="Para"/>
              <w:ind w:firstLine="0"/>
            </w:pPr>
            <w:r w:rsidRPr="00AD52C5">
              <w:t xml:space="preserve">CT </w:t>
            </w:r>
            <w:r w:rsidRPr="00AD52C5">
              <w:rPr>
                <w:rFonts w:eastAsia="宋体"/>
                <w:lang w:eastAsia="zh-CN"/>
              </w:rPr>
              <w:t xml:space="preserve">of </w:t>
            </w:r>
            <w:r w:rsidRPr="00AD52C5">
              <w:t>abdomen - large retroperitoneal hem</w:t>
            </w:r>
            <w:r w:rsidRPr="00AD52C5">
              <w:t>a</w:t>
            </w:r>
            <w:r w:rsidRPr="00AD52C5">
              <w:t xml:space="preserve">toma </w:t>
            </w:r>
          </w:p>
        </w:tc>
        <w:tc>
          <w:tcPr>
            <w:tcW w:w="575" w:type="pct"/>
            <w:hideMark/>
          </w:tcPr>
          <w:p w:rsidR="00964748" w:rsidRPr="00AD52C5" w:rsidRDefault="00964748" w:rsidP="00C51984">
            <w:pPr>
              <w:pStyle w:val="Para"/>
              <w:ind w:firstLine="0"/>
            </w:pPr>
            <w:r w:rsidRPr="00AD52C5">
              <w:t xml:space="preserve">FFP, PRBC, </w:t>
            </w:r>
            <w:r w:rsidRPr="00AD52C5">
              <w:rPr>
                <w:rFonts w:eastAsia="宋体"/>
                <w:lang w:eastAsia="zh-CN"/>
              </w:rPr>
              <w:t>o</w:t>
            </w:r>
            <w:r w:rsidRPr="00AD52C5">
              <w:t xml:space="preserve">ral </w:t>
            </w:r>
            <w:r w:rsidRPr="00AD52C5">
              <w:rPr>
                <w:rFonts w:eastAsia="宋体"/>
                <w:lang w:eastAsia="zh-CN"/>
              </w:rPr>
              <w:t>v</w:t>
            </w:r>
            <w:r w:rsidRPr="00AD52C5">
              <w:t>itamin K 200 mg BID and subcutaneous 10 mg BID used for initial manag</w:t>
            </w:r>
            <w:r w:rsidRPr="00AD52C5">
              <w:t>e</w:t>
            </w:r>
            <w:r w:rsidRPr="00AD52C5">
              <w:t xml:space="preserve">ment. Oral </w:t>
            </w:r>
            <w:r w:rsidRPr="00AD52C5">
              <w:rPr>
                <w:rFonts w:eastAsia="宋体"/>
                <w:lang w:eastAsia="zh-CN"/>
              </w:rPr>
              <w:t>v</w:t>
            </w:r>
            <w:r w:rsidRPr="00AD52C5">
              <w:t xml:space="preserve">itamin K tapered for </w:t>
            </w:r>
            <w:r w:rsidRPr="00AD52C5">
              <w:lastRenderedPageBreak/>
              <w:t>next 4 months.</w:t>
            </w:r>
          </w:p>
        </w:tc>
      </w:tr>
      <w:tr w:rsidR="003625AF" w:rsidRPr="00AD52C5" w:rsidTr="00771CF1">
        <w:trPr>
          <w:trHeight w:val="1127"/>
        </w:trPr>
        <w:tc>
          <w:tcPr>
            <w:tcW w:w="359" w:type="pct"/>
            <w:hideMark/>
          </w:tcPr>
          <w:p w:rsidR="00964748" w:rsidRPr="00AD52C5" w:rsidRDefault="00964748" w:rsidP="008C0F0A">
            <w:pPr>
              <w:pStyle w:val="Para"/>
              <w:ind w:firstLine="0"/>
              <w:rPr>
                <w:rFonts w:eastAsia="宋体"/>
                <w:lang w:eastAsia="zh-CN"/>
              </w:rPr>
            </w:pPr>
            <w:r w:rsidRPr="00AD52C5">
              <w:lastRenderedPageBreak/>
              <w:t>Saphr et al, 2007</w:t>
            </w:r>
            <w:r w:rsidR="00A2416F" w:rsidRPr="00A2416F">
              <w:rPr>
                <w:vertAlign w:val="superscript"/>
              </w:rPr>
              <w:t>w</w:t>
            </w:r>
            <w:r w:rsidR="00A2416F" w:rsidRPr="00A2416F">
              <w:rPr>
                <w:vertAlign w:val="superscript"/>
              </w:rPr>
              <w:t>4</w:t>
            </w:r>
          </w:p>
        </w:tc>
        <w:tc>
          <w:tcPr>
            <w:tcW w:w="433" w:type="pct"/>
            <w:hideMark/>
          </w:tcPr>
          <w:p w:rsidR="00964748" w:rsidRPr="00AD52C5" w:rsidRDefault="00964748" w:rsidP="00C51984">
            <w:pPr>
              <w:pStyle w:val="Para"/>
              <w:ind w:firstLine="0"/>
            </w:pPr>
            <w:r w:rsidRPr="00AD52C5">
              <w:t>48/M</w:t>
            </w:r>
          </w:p>
        </w:tc>
        <w:tc>
          <w:tcPr>
            <w:tcW w:w="709" w:type="pct"/>
            <w:hideMark/>
          </w:tcPr>
          <w:p w:rsidR="00964748" w:rsidRPr="00AD52C5" w:rsidRDefault="00964748" w:rsidP="00C51984">
            <w:pPr>
              <w:pStyle w:val="Para"/>
              <w:ind w:firstLine="0"/>
            </w:pPr>
            <w:r w:rsidRPr="00AD52C5">
              <w:rPr>
                <w:rFonts w:eastAsia="宋体"/>
                <w:lang w:eastAsia="zh-CN"/>
              </w:rPr>
              <w:t xml:space="preserve">A </w:t>
            </w:r>
            <w:r w:rsidRPr="00AD52C5">
              <w:t>2-week history of left</w:t>
            </w:r>
            <w:r w:rsidRPr="00AD52C5">
              <w:rPr>
                <w:rFonts w:eastAsia="宋体"/>
                <w:lang w:eastAsia="zh-CN"/>
              </w:rPr>
              <w:t>-</w:t>
            </w:r>
            <w:r w:rsidRPr="00AD52C5">
              <w:t xml:space="preserve">sided flank pain, easy bruising and increased bleeding from cuts. </w:t>
            </w:r>
          </w:p>
        </w:tc>
        <w:tc>
          <w:tcPr>
            <w:tcW w:w="527" w:type="pct"/>
            <w:hideMark/>
          </w:tcPr>
          <w:p w:rsidR="00964748" w:rsidRPr="00AD52C5" w:rsidRDefault="00964748" w:rsidP="00C51984">
            <w:pPr>
              <w:pStyle w:val="Para"/>
              <w:ind w:firstLine="0"/>
            </w:pPr>
            <w:r w:rsidRPr="00AD52C5">
              <w:t>Renal stones, left leg amput</w:t>
            </w:r>
            <w:r w:rsidRPr="00AD52C5">
              <w:t>a</w:t>
            </w:r>
            <w:r w:rsidRPr="00AD52C5">
              <w:t>tion following a burn injury.</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 xml:space="preserve"> </w:t>
            </w:r>
          </w:p>
        </w:tc>
        <w:tc>
          <w:tcPr>
            <w:tcW w:w="727" w:type="pct"/>
            <w:hideMark/>
          </w:tcPr>
          <w:p w:rsidR="00964748" w:rsidRPr="00AD52C5" w:rsidRDefault="00964748" w:rsidP="00C51984">
            <w:pPr>
              <w:pStyle w:val="Para"/>
              <w:ind w:firstLine="0"/>
              <w:rPr>
                <w:rFonts w:eastAsia="宋体"/>
                <w:lang w:eastAsia="zh-CN"/>
              </w:rPr>
            </w:pPr>
            <w:r w:rsidRPr="00AD52C5">
              <w:t>PT -73.8 s</w:t>
            </w:r>
            <w:r w:rsidRPr="00AD52C5">
              <w:rPr>
                <w:rFonts w:eastAsia="宋体"/>
                <w:lang w:eastAsia="zh-CN"/>
              </w:rPr>
              <w:t>,</w:t>
            </w:r>
            <w:r w:rsidRPr="00AD52C5">
              <w:t xml:space="preserve"> INR - 9.0, PTT &gt;</w:t>
            </w:r>
            <w:r w:rsidRPr="00AD52C5">
              <w:rPr>
                <w:rFonts w:eastAsia="宋体"/>
                <w:lang w:eastAsia="zh-CN"/>
              </w:rPr>
              <w:t xml:space="preserve"> </w:t>
            </w:r>
            <w:r w:rsidRPr="00AD52C5">
              <w:t xml:space="preserve">150 s. Initial </w:t>
            </w:r>
            <w:r w:rsidRPr="00AD52C5">
              <w:rPr>
                <w:rFonts w:eastAsia="宋体"/>
                <w:lang w:eastAsia="zh-CN"/>
              </w:rPr>
              <w:t>b</w:t>
            </w:r>
            <w:r w:rsidRPr="00AD52C5">
              <w:t>rodifacoum level was 42</w:t>
            </w:r>
            <w:r w:rsidRPr="00AD52C5">
              <w:rPr>
                <w:rFonts w:eastAsia="宋体"/>
                <w:lang w:eastAsia="zh-CN"/>
              </w:rPr>
              <w:t xml:space="preserve"> </w:t>
            </w:r>
            <w:r w:rsidRPr="00AD52C5">
              <w:t>ng/m</w:t>
            </w:r>
            <w:r w:rsidRPr="00AD52C5">
              <w:rPr>
                <w:rFonts w:eastAsia="宋体"/>
                <w:lang w:eastAsia="zh-CN"/>
              </w:rPr>
              <w:t>L.</w:t>
            </w:r>
          </w:p>
        </w:tc>
        <w:tc>
          <w:tcPr>
            <w:tcW w:w="504" w:type="pct"/>
            <w:hideMark/>
          </w:tcPr>
          <w:p w:rsidR="00964748" w:rsidRPr="00AD52C5" w:rsidRDefault="00964748" w:rsidP="00C51984">
            <w:pPr>
              <w:pStyle w:val="Para"/>
              <w:ind w:firstLine="0"/>
            </w:pPr>
            <w:r w:rsidRPr="00AD52C5">
              <w:t xml:space="preserve"> </w:t>
            </w:r>
          </w:p>
        </w:tc>
        <w:tc>
          <w:tcPr>
            <w:tcW w:w="575" w:type="pct"/>
            <w:hideMark/>
          </w:tcPr>
          <w:p w:rsidR="00964748" w:rsidRPr="00AD52C5" w:rsidRDefault="00964748" w:rsidP="00C51984">
            <w:pPr>
              <w:pStyle w:val="Para"/>
              <w:ind w:firstLine="0"/>
            </w:pPr>
            <w:r w:rsidRPr="00AD52C5">
              <w:t>Initially man</w:t>
            </w:r>
            <w:r w:rsidRPr="00AD52C5">
              <w:rPr>
                <w:rFonts w:eastAsia="Times New Roman"/>
              </w:rPr>
              <w:t>a</w:t>
            </w:r>
            <w:r w:rsidRPr="00AD52C5">
              <w:t>ged with vitamin K 10 mg IV and FFP.</w:t>
            </w:r>
            <w:r w:rsidRPr="00AD52C5">
              <w:rPr>
                <w:rFonts w:eastAsia="宋体"/>
                <w:lang w:eastAsia="zh-CN"/>
              </w:rPr>
              <w:t xml:space="preserve"> </w:t>
            </w:r>
            <w:r w:rsidRPr="00AD52C5">
              <w:t>Needed large doses of oral vitamin K (70 mg twice daily) for several weeks. Repeat brodifacoum level was o</w:t>
            </w:r>
            <w:r w:rsidRPr="00AD52C5">
              <w:t>b</w:t>
            </w:r>
            <w:r w:rsidRPr="00AD52C5">
              <w:t>tained after 16 days show</w:t>
            </w:r>
            <w:r w:rsidRPr="00AD52C5">
              <w:rPr>
                <w:rFonts w:eastAsia="宋体"/>
                <w:lang w:eastAsia="zh-CN"/>
              </w:rPr>
              <w:t>ing</w:t>
            </w:r>
            <w:r w:rsidRPr="00AD52C5">
              <w:t xml:space="preserve"> level of 20 ng/m</w:t>
            </w:r>
            <w:r w:rsidRPr="00AD52C5">
              <w:rPr>
                <w:rFonts w:eastAsia="宋体"/>
                <w:lang w:eastAsia="zh-CN"/>
              </w:rPr>
              <w:t>L</w:t>
            </w:r>
            <w:r w:rsidRPr="00AD52C5">
              <w:t xml:space="preserve">. Vitamin K discontinued once PT was noted to be </w:t>
            </w:r>
            <w:r w:rsidRPr="00AD52C5">
              <w:lastRenderedPageBreak/>
              <w:t>26.5 on the same day.</w:t>
            </w:r>
          </w:p>
        </w:tc>
      </w:tr>
      <w:tr w:rsidR="003625AF" w:rsidRPr="00AD52C5" w:rsidTr="00771CF1">
        <w:trPr>
          <w:trHeight w:val="2867"/>
        </w:trPr>
        <w:tc>
          <w:tcPr>
            <w:tcW w:w="359" w:type="pct"/>
            <w:hideMark/>
          </w:tcPr>
          <w:p w:rsidR="00964748" w:rsidRPr="00AD52C5" w:rsidRDefault="00964748" w:rsidP="008C0F0A">
            <w:pPr>
              <w:pStyle w:val="Para"/>
              <w:ind w:firstLine="0"/>
              <w:rPr>
                <w:rFonts w:eastAsia="宋体"/>
                <w:lang w:eastAsia="zh-CN"/>
              </w:rPr>
            </w:pPr>
            <w:r w:rsidRPr="00AD52C5">
              <w:lastRenderedPageBreak/>
              <w:t>Travis et al, 1993</w:t>
            </w:r>
            <w:r w:rsidR="00A2416F" w:rsidRPr="00A2416F">
              <w:rPr>
                <w:vertAlign w:val="superscript"/>
              </w:rPr>
              <w:t>w</w:t>
            </w:r>
            <w:r w:rsidR="00A2416F" w:rsidRPr="00A2416F">
              <w:rPr>
                <w:vertAlign w:val="superscript"/>
              </w:rPr>
              <w:t>5</w:t>
            </w:r>
          </w:p>
        </w:tc>
        <w:tc>
          <w:tcPr>
            <w:tcW w:w="433" w:type="pct"/>
            <w:hideMark/>
          </w:tcPr>
          <w:p w:rsidR="00964748" w:rsidRPr="00AD52C5" w:rsidRDefault="00964748" w:rsidP="00C51984">
            <w:pPr>
              <w:pStyle w:val="Para"/>
              <w:ind w:firstLine="0"/>
            </w:pPr>
            <w:r w:rsidRPr="00AD52C5">
              <w:t>36 month</w:t>
            </w:r>
            <w:r w:rsidRPr="00AD52C5">
              <w:rPr>
                <w:rFonts w:eastAsia="宋体"/>
                <w:lang w:eastAsia="zh-CN"/>
              </w:rPr>
              <w:t>s</w:t>
            </w:r>
            <w:r w:rsidRPr="00AD52C5">
              <w:t>/F</w:t>
            </w:r>
          </w:p>
        </w:tc>
        <w:tc>
          <w:tcPr>
            <w:tcW w:w="709" w:type="pct"/>
            <w:hideMark/>
          </w:tcPr>
          <w:p w:rsidR="00964748" w:rsidRPr="00AD52C5" w:rsidRDefault="00964748" w:rsidP="00C51984">
            <w:pPr>
              <w:pStyle w:val="Para"/>
              <w:ind w:firstLine="0"/>
            </w:pPr>
            <w:r w:rsidRPr="00AD52C5">
              <w:t>Excessive bruising for 1 week and l-day history of ep</w:t>
            </w:r>
            <w:r w:rsidRPr="00AD52C5">
              <w:t>i</w:t>
            </w:r>
            <w:r w:rsidRPr="00AD52C5">
              <w:t>staxis and bleeding from mouth. Exposure at home to rat poison - d-C</w:t>
            </w:r>
            <w:r w:rsidRPr="00AD52C5">
              <w:rPr>
                <w:rFonts w:eastAsia="宋体"/>
                <w:lang w:eastAsia="zh-CN"/>
              </w:rPr>
              <w:t>ON</w:t>
            </w:r>
            <w:r w:rsidRPr="00AD52C5">
              <w:t xml:space="preserve"> Mouse Prufe II.</w:t>
            </w:r>
          </w:p>
        </w:tc>
        <w:tc>
          <w:tcPr>
            <w:tcW w:w="527" w:type="pct"/>
            <w:hideMark/>
          </w:tcPr>
          <w:p w:rsidR="00964748" w:rsidRPr="00AD52C5" w:rsidRDefault="00964748" w:rsidP="00C51984">
            <w:pPr>
              <w:pStyle w:val="Para"/>
              <w:ind w:firstLine="0"/>
            </w:pPr>
            <w:r w:rsidRPr="00AD52C5">
              <w:t>P</w:t>
            </w:r>
            <w:r w:rsidRPr="00AD52C5">
              <w:t>I</w:t>
            </w:r>
            <w:r w:rsidRPr="00AD52C5">
              <w:t>CA</w:t>
            </w:r>
          </w:p>
        </w:tc>
        <w:tc>
          <w:tcPr>
            <w:tcW w:w="480" w:type="pct"/>
            <w:hideMark/>
          </w:tcPr>
          <w:p w:rsidR="00964748" w:rsidRPr="00AD52C5" w:rsidRDefault="00964748" w:rsidP="00C51984">
            <w:pPr>
              <w:pStyle w:val="Para"/>
              <w:ind w:firstLine="0"/>
            </w:pPr>
          </w:p>
        </w:tc>
        <w:tc>
          <w:tcPr>
            <w:tcW w:w="687" w:type="pct"/>
            <w:hideMark/>
          </w:tcPr>
          <w:p w:rsidR="00964748" w:rsidRPr="00AD52C5" w:rsidRDefault="00964748" w:rsidP="00C51984">
            <w:pPr>
              <w:pStyle w:val="Para"/>
              <w:ind w:firstLine="0"/>
            </w:pPr>
            <w:r w:rsidRPr="00AD52C5">
              <w:t>Active bleeding from nose and mouth + pale mucous me</w:t>
            </w:r>
            <w:r w:rsidRPr="00AD52C5">
              <w:rPr>
                <w:rFonts w:eastAsia="宋体"/>
                <w:lang w:eastAsia="zh-CN"/>
              </w:rPr>
              <w:t>m</w:t>
            </w:r>
            <w:r w:rsidRPr="00AD52C5">
              <w:t>branes. Multiple bruises over her entire body + voided urine grossly bloody</w:t>
            </w:r>
          </w:p>
        </w:tc>
        <w:tc>
          <w:tcPr>
            <w:tcW w:w="727" w:type="pct"/>
            <w:hideMark/>
          </w:tcPr>
          <w:p w:rsidR="00964748" w:rsidRPr="00AD52C5" w:rsidRDefault="00964748" w:rsidP="00C51984">
            <w:pPr>
              <w:pStyle w:val="Para"/>
              <w:ind w:firstLine="0"/>
            </w:pPr>
            <w:r w:rsidRPr="00AD52C5">
              <w:t>H</w:t>
            </w:r>
            <w:r w:rsidRPr="00AD52C5">
              <w:rPr>
                <w:rFonts w:eastAsia="宋体"/>
                <w:lang w:eastAsia="zh-CN"/>
              </w:rPr>
              <w:t>b</w:t>
            </w:r>
            <w:r w:rsidRPr="00AD52C5">
              <w:t xml:space="preserve"> - 9.6 g/d</w:t>
            </w:r>
            <w:r w:rsidRPr="00AD52C5">
              <w:rPr>
                <w:rFonts w:eastAsia="宋体"/>
                <w:lang w:eastAsia="zh-CN"/>
              </w:rPr>
              <w:t>L</w:t>
            </w:r>
            <w:r w:rsidRPr="00AD52C5">
              <w:t>, hematocrit 29.9%, platelet 474 × 10</w:t>
            </w:r>
            <w:r w:rsidRPr="00AD52C5">
              <w:rPr>
                <w:vertAlign w:val="superscript"/>
              </w:rPr>
              <w:t>9</w:t>
            </w:r>
            <w:r w:rsidRPr="00AD52C5">
              <w:t>/L</w:t>
            </w:r>
            <w:r w:rsidRPr="00AD52C5">
              <w:rPr>
                <w:rFonts w:eastAsia="宋体"/>
                <w:lang w:eastAsia="zh-CN"/>
              </w:rPr>
              <w:t>,</w:t>
            </w:r>
            <w:r w:rsidRPr="00AD52C5">
              <w:t xml:space="preserve"> </w:t>
            </w:r>
            <w:r w:rsidRPr="00AD52C5">
              <w:rPr>
                <w:rFonts w:eastAsia="宋体"/>
                <w:lang w:eastAsia="zh-CN"/>
              </w:rPr>
              <w:t>P</w:t>
            </w:r>
            <w:r w:rsidRPr="00AD52C5">
              <w:t>T</w:t>
            </w:r>
            <w:r w:rsidRPr="00AD52C5">
              <w:rPr>
                <w:rFonts w:eastAsia="宋体"/>
                <w:lang w:eastAsia="zh-CN"/>
              </w:rPr>
              <w:t xml:space="preserve"> </w:t>
            </w:r>
            <w:r w:rsidRPr="00AD52C5">
              <w:t>&gt;</w:t>
            </w:r>
            <w:r w:rsidRPr="00AD52C5">
              <w:rPr>
                <w:rFonts w:eastAsia="宋体"/>
                <w:lang w:eastAsia="zh-CN"/>
              </w:rPr>
              <w:t xml:space="preserve"> </w:t>
            </w:r>
            <w:r w:rsidRPr="00AD52C5">
              <w:t>40</w:t>
            </w:r>
            <w:r w:rsidRPr="00AD52C5">
              <w:rPr>
                <w:rFonts w:eastAsia="宋体"/>
                <w:lang w:eastAsia="zh-CN"/>
              </w:rPr>
              <w:t xml:space="preserve"> </w:t>
            </w:r>
            <w:r w:rsidRPr="00AD52C5">
              <w:t>s</w:t>
            </w:r>
            <w:r w:rsidRPr="00AD52C5">
              <w:rPr>
                <w:rFonts w:eastAsia="宋体"/>
                <w:lang w:eastAsia="zh-CN"/>
              </w:rPr>
              <w:t>,</w:t>
            </w:r>
            <w:r w:rsidRPr="00AD52C5">
              <w:t xml:space="preserve"> PTT</w:t>
            </w:r>
            <w:r w:rsidRPr="00AD52C5">
              <w:rPr>
                <w:rFonts w:eastAsia="宋体"/>
                <w:lang w:eastAsia="zh-CN"/>
              </w:rPr>
              <w:t xml:space="preserve"> </w:t>
            </w:r>
            <w:r w:rsidRPr="00AD52C5">
              <w:t>&gt; 120</w:t>
            </w:r>
            <w:r w:rsidRPr="00AD52C5">
              <w:rPr>
                <w:rFonts w:eastAsia="宋体"/>
                <w:lang w:eastAsia="zh-CN"/>
              </w:rPr>
              <w:t xml:space="preserve"> </w:t>
            </w:r>
            <w:r w:rsidRPr="00AD52C5">
              <w:t>s. Decreased levels of factors II, VII, IX and X,</w:t>
            </w:r>
            <w:r w:rsidRPr="00AD52C5">
              <w:rPr>
                <w:rFonts w:eastAsia="宋体"/>
                <w:lang w:eastAsia="zh-CN"/>
              </w:rPr>
              <w:t xml:space="preserve"> </w:t>
            </w:r>
            <w:r w:rsidRPr="00AD52C5">
              <w:t>with normal levels of V</w:t>
            </w:r>
            <w:r w:rsidRPr="00AD52C5">
              <w:rPr>
                <w:rFonts w:eastAsia="宋体"/>
                <w:lang w:eastAsia="zh-CN"/>
              </w:rPr>
              <w:t xml:space="preserve"> </w:t>
            </w:r>
            <w:r w:rsidRPr="00AD52C5">
              <w:t>and VIII</w:t>
            </w:r>
            <w:r w:rsidRPr="00AD52C5">
              <w:rPr>
                <w:rFonts w:eastAsia="宋体"/>
                <w:lang w:eastAsia="zh-CN"/>
              </w:rPr>
              <w:t>.</w:t>
            </w:r>
            <w:r w:rsidRPr="00AD52C5">
              <w:t xml:space="preserve"> Initial brodif</w:t>
            </w:r>
            <w:r w:rsidRPr="00AD52C5">
              <w:t>a</w:t>
            </w:r>
            <w:r w:rsidRPr="00AD52C5">
              <w:t>coum level - 98 ng/m</w:t>
            </w:r>
            <w:r w:rsidRPr="00AD52C5">
              <w:rPr>
                <w:rFonts w:eastAsia="宋体"/>
                <w:lang w:eastAsia="zh-CN"/>
              </w:rPr>
              <w:t>L</w:t>
            </w:r>
            <w:r w:rsidRPr="00AD52C5">
              <w:t xml:space="preserve">. </w:t>
            </w:r>
          </w:p>
        </w:tc>
        <w:tc>
          <w:tcPr>
            <w:tcW w:w="504" w:type="pct"/>
            <w:hideMark/>
          </w:tcPr>
          <w:p w:rsidR="00964748" w:rsidRPr="00AD52C5" w:rsidRDefault="00964748" w:rsidP="00C51984">
            <w:pPr>
              <w:pStyle w:val="Para"/>
              <w:ind w:firstLine="0"/>
            </w:pPr>
            <w:r w:rsidRPr="00AD52C5">
              <w:t xml:space="preserve"> </w:t>
            </w:r>
          </w:p>
        </w:tc>
        <w:tc>
          <w:tcPr>
            <w:tcW w:w="575" w:type="pct"/>
            <w:hideMark/>
          </w:tcPr>
          <w:p w:rsidR="00964748" w:rsidRPr="00AD52C5" w:rsidRDefault="00964748" w:rsidP="00C51984">
            <w:pPr>
              <w:pStyle w:val="Para"/>
              <w:ind w:firstLine="0"/>
            </w:pPr>
            <w:r w:rsidRPr="00AD52C5">
              <w:t>Initially managed with vitamin K. Readmission due to non-compliance managed with IM vitamin K with brodifacoum level at discharge noted to be 27 ng/m</w:t>
            </w:r>
            <w:r w:rsidRPr="00AD52C5">
              <w:rPr>
                <w:rFonts w:eastAsia="宋体"/>
                <w:lang w:eastAsia="zh-CN"/>
              </w:rPr>
              <w:t>L</w:t>
            </w:r>
            <w:r w:rsidRPr="00AD52C5">
              <w:t>. To fasten recovery phenobarbital started on day 30. The PT decreased progressively</w:t>
            </w:r>
            <w:r w:rsidRPr="00AD52C5">
              <w:lastRenderedPageBreak/>
              <w:t>. Phenobarbital therapy discontinued on day 102. Oral vitamin K was continued (brod</w:t>
            </w:r>
            <w:r w:rsidRPr="00AD52C5">
              <w:t>i</w:t>
            </w:r>
            <w:r w:rsidRPr="00AD52C5">
              <w:t xml:space="preserve">facoum was still detectable in the serum). </w:t>
            </w:r>
            <w:r w:rsidRPr="00AD52C5">
              <w:rPr>
                <w:rFonts w:eastAsia="宋体"/>
                <w:lang w:eastAsia="zh-CN"/>
              </w:rPr>
              <w:t>Two</w:t>
            </w:r>
            <w:r w:rsidRPr="00AD52C5">
              <w:t xml:space="preserve"> w</w:t>
            </w:r>
            <w:r w:rsidRPr="00AD52C5">
              <w:rPr>
                <w:rFonts w:eastAsia="宋体"/>
                <w:lang w:eastAsia="zh-CN"/>
              </w:rPr>
              <w:t>ee</w:t>
            </w:r>
            <w:r w:rsidRPr="00AD52C5">
              <w:t>ks later, the PT and PTT remained normal. The family moved, and the child was lost to f</w:t>
            </w:r>
            <w:r w:rsidRPr="00AD52C5">
              <w:rPr>
                <w:rFonts w:eastAsia="宋体"/>
                <w:lang w:eastAsia="zh-CN"/>
              </w:rPr>
              <w:t>ollow-</w:t>
            </w:r>
            <w:r w:rsidRPr="00AD52C5">
              <w:t>u</w:t>
            </w:r>
            <w:r w:rsidRPr="00AD52C5">
              <w:rPr>
                <w:rFonts w:eastAsia="宋体"/>
                <w:lang w:eastAsia="zh-CN"/>
              </w:rPr>
              <w:t>p</w:t>
            </w:r>
            <w:r w:rsidRPr="00AD52C5">
              <w:t>. Brodifacoum - undetectable - days 1l6 and 151.</w:t>
            </w:r>
          </w:p>
        </w:tc>
      </w:tr>
      <w:tr w:rsidR="003625AF" w:rsidRPr="00AD52C5" w:rsidTr="00771CF1">
        <w:trPr>
          <w:trHeight w:val="1804"/>
        </w:trPr>
        <w:tc>
          <w:tcPr>
            <w:tcW w:w="359" w:type="pct"/>
            <w:hideMark/>
          </w:tcPr>
          <w:p w:rsidR="00964748" w:rsidRPr="00AD52C5" w:rsidRDefault="00964748" w:rsidP="00BE7505">
            <w:pPr>
              <w:pStyle w:val="Para"/>
              <w:ind w:firstLine="0"/>
              <w:rPr>
                <w:rFonts w:eastAsia="宋体"/>
                <w:lang w:eastAsia="zh-CN"/>
              </w:rPr>
            </w:pPr>
            <w:r w:rsidRPr="00AD52C5">
              <w:lastRenderedPageBreak/>
              <w:t>Card et al, 2014</w:t>
            </w:r>
            <w:r w:rsidR="00A2416F" w:rsidRPr="00A2416F">
              <w:rPr>
                <w:vertAlign w:val="superscript"/>
              </w:rPr>
              <w:t>w</w:t>
            </w:r>
            <w:r w:rsidR="00A2416F" w:rsidRPr="00A2416F">
              <w:rPr>
                <w:vertAlign w:val="superscript"/>
              </w:rPr>
              <w:t>6</w:t>
            </w:r>
          </w:p>
        </w:tc>
        <w:tc>
          <w:tcPr>
            <w:tcW w:w="433" w:type="pct"/>
            <w:hideMark/>
          </w:tcPr>
          <w:p w:rsidR="00964748" w:rsidRPr="00AD52C5" w:rsidRDefault="00964748" w:rsidP="00C51984">
            <w:pPr>
              <w:pStyle w:val="Para"/>
              <w:ind w:firstLine="0"/>
            </w:pPr>
            <w:r w:rsidRPr="00AD52C5">
              <w:t>45/F</w:t>
            </w:r>
          </w:p>
        </w:tc>
        <w:tc>
          <w:tcPr>
            <w:tcW w:w="709" w:type="pct"/>
            <w:hideMark/>
          </w:tcPr>
          <w:p w:rsidR="00964748" w:rsidRPr="00AD52C5" w:rsidRDefault="00964748" w:rsidP="00C51984">
            <w:pPr>
              <w:pStyle w:val="Para"/>
              <w:ind w:firstLine="0"/>
            </w:pPr>
            <w:r w:rsidRPr="00AD52C5">
              <w:t>Suprapubic pain and discomfort of 2 days duration associated with a 1-day history of frank hem</w:t>
            </w:r>
            <w:r w:rsidRPr="00AD52C5">
              <w:t>a</w:t>
            </w:r>
            <w:r w:rsidRPr="00AD52C5">
              <w:t xml:space="preserve">turia. </w:t>
            </w:r>
          </w:p>
        </w:tc>
        <w:tc>
          <w:tcPr>
            <w:tcW w:w="527" w:type="pct"/>
            <w:hideMark/>
          </w:tcPr>
          <w:p w:rsidR="00964748" w:rsidRPr="00AD52C5" w:rsidRDefault="00964748" w:rsidP="00C51984">
            <w:pPr>
              <w:pStyle w:val="Para"/>
              <w:ind w:firstLine="0"/>
            </w:pPr>
            <w:r w:rsidRPr="00AD52C5">
              <w:t>Psychiatric illness + pica</w:t>
            </w:r>
          </w:p>
        </w:tc>
        <w:tc>
          <w:tcPr>
            <w:tcW w:w="480" w:type="pct"/>
            <w:hideMark/>
          </w:tcPr>
          <w:p w:rsidR="00964748" w:rsidRPr="00AD52C5" w:rsidRDefault="00964748" w:rsidP="00C51984">
            <w:pPr>
              <w:pStyle w:val="Para"/>
              <w:ind w:firstLine="0"/>
            </w:pPr>
            <w:bookmarkStart w:id="2" w:name="OLE_LINK7"/>
            <w:bookmarkStart w:id="3" w:name="OLE_LINK8"/>
            <w:r w:rsidRPr="00AD52C5">
              <w:t>Quetiapine</w:t>
            </w:r>
            <w:r w:rsidRPr="00AD52C5">
              <w:rPr>
                <w:rFonts w:eastAsia="宋体"/>
                <w:lang w:eastAsia="zh-CN"/>
              </w:rPr>
              <w:t>, f</w:t>
            </w:r>
            <w:r w:rsidRPr="00AD52C5">
              <w:t xml:space="preserve">luoxetine </w:t>
            </w:r>
            <w:bookmarkEnd w:id="2"/>
            <w:bookmarkEnd w:id="3"/>
          </w:p>
        </w:tc>
        <w:tc>
          <w:tcPr>
            <w:tcW w:w="687" w:type="pct"/>
            <w:hideMark/>
          </w:tcPr>
          <w:p w:rsidR="00964748" w:rsidRPr="00AD52C5" w:rsidRDefault="00964748" w:rsidP="00C51984">
            <w:pPr>
              <w:pStyle w:val="Para"/>
              <w:ind w:firstLine="0"/>
            </w:pPr>
            <w:r w:rsidRPr="00AD52C5">
              <w:t>Mild te</w:t>
            </w:r>
            <w:r w:rsidRPr="00AD52C5">
              <w:t>n</w:t>
            </w:r>
            <w:r w:rsidRPr="00AD52C5">
              <w:t>derness in suprapubic region and frank hematuria</w:t>
            </w:r>
          </w:p>
        </w:tc>
        <w:tc>
          <w:tcPr>
            <w:tcW w:w="727" w:type="pct"/>
            <w:hideMark/>
          </w:tcPr>
          <w:p w:rsidR="00964748" w:rsidRPr="00AD52C5" w:rsidRDefault="00964748" w:rsidP="00C51984">
            <w:pPr>
              <w:pStyle w:val="Para"/>
              <w:ind w:firstLine="0"/>
            </w:pPr>
            <w:r w:rsidRPr="00AD52C5">
              <w:t>PT &gt;</w:t>
            </w:r>
            <w:r w:rsidRPr="00AD52C5">
              <w:rPr>
                <w:rFonts w:eastAsia="宋体"/>
                <w:lang w:eastAsia="zh-CN"/>
              </w:rPr>
              <w:t xml:space="preserve"> </w:t>
            </w:r>
            <w:r w:rsidRPr="00AD52C5">
              <w:t>200 s,</w:t>
            </w:r>
            <w:r w:rsidRPr="00AD52C5">
              <w:rPr>
                <w:rFonts w:eastAsia="宋体"/>
                <w:lang w:eastAsia="zh-CN"/>
              </w:rPr>
              <w:t xml:space="preserve"> </w:t>
            </w:r>
            <w:r w:rsidRPr="00AD52C5">
              <w:t>INR</w:t>
            </w:r>
            <w:r w:rsidRPr="00AD52C5">
              <w:rPr>
                <w:rFonts w:eastAsia="宋体"/>
                <w:lang w:eastAsia="zh-CN"/>
              </w:rPr>
              <w:t xml:space="preserve"> </w:t>
            </w:r>
            <w:r w:rsidRPr="00AD52C5">
              <w:t>&gt;</w:t>
            </w:r>
            <w:r w:rsidRPr="00AD52C5">
              <w:rPr>
                <w:rFonts w:eastAsia="宋体"/>
                <w:lang w:eastAsia="zh-CN"/>
              </w:rPr>
              <w:t xml:space="preserve"> </w:t>
            </w:r>
            <w:r w:rsidRPr="00AD52C5">
              <w:t xml:space="preserve">10. </w:t>
            </w:r>
            <w:r w:rsidRPr="00AD52C5">
              <w:rPr>
                <w:rFonts w:eastAsia="宋体"/>
                <w:lang w:eastAsia="zh-CN"/>
              </w:rPr>
              <w:t>a</w:t>
            </w:r>
            <w:r w:rsidRPr="00AD52C5">
              <w:t>PPT of 114 s. A 50:50 mix was performed and showed normali</w:t>
            </w:r>
            <w:r w:rsidRPr="00AD52C5">
              <w:rPr>
                <w:rFonts w:eastAsia="宋体"/>
                <w:lang w:eastAsia="zh-CN"/>
              </w:rPr>
              <w:t>z</w:t>
            </w:r>
            <w:r w:rsidRPr="00AD52C5">
              <w:t>ation of clotting factors (</w:t>
            </w:r>
            <w:r w:rsidRPr="00AD52C5">
              <w:rPr>
                <w:rFonts w:eastAsia="宋体"/>
                <w:lang w:eastAsia="zh-CN"/>
              </w:rPr>
              <w:t>a</w:t>
            </w:r>
            <w:r w:rsidRPr="00AD52C5">
              <w:t>PTT</w:t>
            </w:r>
            <w:r w:rsidRPr="00AD52C5">
              <w:rPr>
                <w:rFonts w:eastAsia="宋体"/>
                <w:lang w:eastAsia="zh-CN"/>
              </w:rPr>
              <w:t xml:space="preserve"> </w:t>
            </w:r>
            <w:r w:rsidRPr="00AD52C5">
              <w:t>=</w:t>
            </w:r>
            <w:r w:rsidRPr="00AD52C5">
              <w:rPr>
                <w:rFonts w:eastAsia="宋体"/>
                <w:lang w:eastAsia="zh-CN"/>
              </w:rPr>
              <w:t xml:space="preserve"> </w:t>
            </w:r>
            <w:r w:rsidRPr="00AD52C5">
              <w:t>26.3 s and PT</w:t>
            </w:r>
            <w:r w:rsidRPr="00AD52C5">
              <w:rPr>
                <w:rFonts w:eastAsia="宋体"/>
                <w:lang w:eastAsia="zh-CN"/>
              </w:rPr>
              <w:t xml:space="preserve"> </w:t>
            </w:r>
            <w:r w:rsidRPr="00AD52C5">
              <w:t>=</w:t>
            </w:r>
            <w:r w:rsidRPr="00AD52C5">
              <w:rPr>
                <w:rFonts w:eastAsia="宋体"/>
                <w:lang w:eastAsia="zh-CN"/>
              </w:rPr>
              <w:t xml:space="preserve"> </w:t>
            </w:r>
            <w:r w:rsidRPr="00AD52C5">
              <w:t>13 s). FVIII</w:t>
            </w:r>
            <w:r w:rsidRPr="00AD52C5">
              <w:rPr>
                <w:rFonts w:eastAsia="宋体"/>
                <w:lang w:eastAsia="zh-CN"/>
              </w:rPr>
              <w:t xml:space="preserve"> </w:t>
            </w:r>
            <w:r w:rsidRPr="00AD52C5">
              <w:t>=</w:t>
            </w:r>
            <w:r w:rsidRPr="00AD52C5">
              <w:rPr>
                <w:rFonts w:eastAsia="宋体"/>
                <w:lang w:eastAsia="zh-CN"/>
              </w:rPr>
              <w:t xml:space="preserve"> </w:t>
            </w:r>
            <w:r w:rsidRPr="00AD52C5">
              <w:t>159%, FIX</w:t>
            </w:r>
            <w:r w:rsidRPr="00AD52C5">
              <w:rPr>
                <w:rFonts w:eastAsia="宋体"/>
                <w:lang w:eastAsia="zh-CN"/>
              </w:rPr>
              <w:t xml:space="preserve"> </w:t>
            </w:r>
            <w:r w:rsidRPr="00AD52C5">
              <w:t>=</w:t>
            </w:r>
            <w:r w:rsidRPr="00AD52C5">
              <w:rPr>
                <w:rFonts w:eastAsia="宋体"/>
                <w:lang w:eastAsia="zh-CN"/>
              </w:rPr>
              <w:t xml:space="preserve"> </w:t>
            </w:r>
            <w:r w:rsidRPr="00AD52C5">
              <w:t>3%, FVII</w:t>
            </w:r>
            <w:r w:rsidRPr="00AD52C5">
              <w:rPr>
                <w:rFonts w:eastAsia="宋体"/>
                <w:lang w:eastAsia="zh-CN"/>
              </w:rPr>
              <w:t xml:space="preserve"> </w:t>
            </w:r>
            <w:r w:rsidRPr="00AD52C5">
              <w:t>≤</w:t>
            </w:r>
            <w:r w:rsidRPr="00AD52C5">
              <w:rPr>
                <w:rFonts w:eastAsia="宋体"/>
                <w:lang w:eastAsia="zh-CN"/>
              </w:rPr>
              <w:t xml:space="preserve"> </w:t>
            </w:r>
            <w:r w:rsidRPr="00AD52C5">
              <w:t>5%, Factor II</w:t>
            </w:r>
            <w:r w:rsidRPr="00AD52C5">
              <w:rPr>
                <w:rFonts w:eastAsia="宋体"/>
                <w:lang w:eastAsia="zh-CN"/>
              </w:rPr>
              <w:t xml:space="preserve"> </w:t>
            </w:r>
            <w:r w:rsidRPr="00AD52C5">
              <w:t>≤</w:t>
            </w:r>
            <w:r w:rsidRPr="00AD52C5">
              <w:rPr>
                <w:rFonts w:eastAsia="宋体"/>
                <w:lang w:eastAsia="zh-CN"/>
              </w:rPr>
              <w:t xml:space="preserve"> </w:t>
            </w:r>
            <w:r w:rsidRPr="00AD52C5">
              <w:t>5%, FX</w:t>
            </w:r>
            <w:r w:rsidRPr="00AD52C5">
              <w:rPr>
                <w:rFonts w:eastAsia="宋体"/>
                <w:lang w:eastAsia="zh-CN"/>
              </w:rPr>
              <w:t xml:space="preserve"> </w:t>
            </w:r>
            <w:r w:rsidRPr="00AD52C5">
              <w:t>≤</w:t>
            </w:r>
            <w:r w:rsidRPr="00AD52C5">
              <w:rPr>
                <w:rFonts w:eastAsia="宋体"/>
                <w:lang w:eastAsia="zh-CN"/>
              </w:rPr>
              <w:t xml:space="preserve"> </w:t>
            </w:r>
            <w:r w:rsidRPr="00AD52C5">
              <w:t>5%, FV</w:t>
            </w:r>
            <w:r w:rsidRPr="00AD52C5">
              <w:rPr>
                <w:rFonts w:eastAsia="宋体"/>
                <w:lang w:eastAsia="zh-CN"/>
              </w:rPr>
              <w:t xml:space="preserve"> </w:t>
            </w:r>
            <w:r w:rsidRPr="00AD52C5">
              <w:t>=</w:t>
            </w:r>
            <w:r w:rsidRPr="00AD52C5">
              <w:rPr>
                <w:rFonts w:eastAsia="宋体"/>
                <w:lang w:eastAsia="zh-CN"/>
              </w:rPr>
              <w:t xml:space="preserve"> </w:t>
            </w:r>
            <w:r w:rsidRPr="00AD52C5">
              <w:t>132% and fibrinogen</w:t>
            </w:r>
            <w:r w:rsidRPr="00AD52C5">
              <w:rPr>
                <w:rFonts w:eastAsia="宋体"/>
                <w:lang w:eastAsia="zh-CN"/>
              </w:rPr>
              <w:t xml:space="preserve"> </w:t>
            </w:r>
            <w:r w:rsidRPr="00AD52C5">
              <w:t>=</w:t>
            </w:r>
            <w:r w:rsidRPr="00AD52C5">
              <w:rPr>
                <w:rFonts w:eastAsia="宋体"/>
                <w:lang w:eastAsia="zh-CN"/>
              </w:rPr>
              <w:t xml:space="preserve"> </w:t>
            </w:r>
            <w:r w:rsidRPr="00AD52C5">
              <w:t>4.65 g/L</w:t>
            </w:r>
            <w:r w:rsidRPr="00AD52C5">
              <w:rPr>
                <w:rFonts w:eastAsia="宋体"/>
                <w:lang w:eastAsia="zh-CN"/>
              </w:rPr>
              <w:t>.</w:t>
            </w:r>
            <w:r w:rsidRPr="00AD52C5">
              <w:t xml:space="preserve"> Difenacoum was detected in the p</w:t>
            </w:r>
            <w:r w:rsidRPr="00AD52C5">
              <w:t>a</w:t>
            </w:r>
            <w:r w:rsidRPr="00AD52C5">
              <w:t xml:space="preserve">tient’s plasma in a sample taken </w:t>
            </w:r>
            <w:r w:rsidRPr="00AD52C5">
              <w:lastRenderedPageBreak/>
              <w:t>1 day post</w:t>
            </w:r>
            <w:r w:rsidRPr="00AD52C5">
              <w:rPr>
                <w:rFonts w:eastAsia="宋体"/>
                <w:lang w:eastAsia="zh-CN"/>
              </w:rPr>
              <w:t>-</w:t>
            </w:r>
            <w:r w:rsidRPr="00AD52C5">
              <w:t>exposure</w:t>
            </w:r>
          </w:p>
        </w:tc>
        <w:tc>
          <w:tcPr>
            <w:tcW w:w="504" w:type="pct"/>
            <w:hideMark/>
          </w:tcPr>
          <w:p w:rsidR="00964748" w:rsidRPr="00AD52C5" w:rsidRDefault="00964748" w:rsidP="00C51984">
            <w:pPr>
              <w:pStyle w:val="Para"/>
              <w:ind w:firstLine="0"/>
              <w:rPr>
                <w:rFonts w:eastAsia="宋体"/>
                <w:lang w:eastAsia="zh-CN"/>
              </w:rPr>
            </w:pPr>
            <w:r w:rsidRPr="00AD52C5">
              <w:lastRenderedPageBreak/>
              <w:t>KUB X-ray and ultrasound scan of the bladder and pelvis - no</w:t>
            </w:r>
            <w:r w:rsidRPr="00AD52C5">
              <w:t>r</w:t>
            </w:r>
            <w:r w:rsidRPr="00AD52C5">
              <w:t>mal.</w:t>
            </w:r>
          </w:p>
        </w:tc>
        <w:tc>
          <w:tcPr>
            <w:tcW w:w="575" w:type="pct"/>
            <w:hideMark/>
          </w:tcPr>
          <w:p w:rsidR="00964748" w:rsidRPr="00AD52C5" w:rsidRDefault="00964748" w:rsidP="00C51984">
            <w:pPr>
              <w:pStyle w:val="Para"/>
              <w:ind w:firstLine="0"/>
            </w:pPr>
            <w:r w:rsidRPr="00AD52C5">
              <w:t>Initially treated with phytomenadione, red cell suspension and octaplex. She was discharged on 30 mg phytomenadione daily but monitoring of vitamin K mar</w:t>
            </w:r>
            <w:r w:rsidRPr="00AD52C5">
              <w:t>k</w:t>
            </w:r>
            <w:r w:rsidRPr="00AD52C5">
              <w:t>ers indicated that compliance was poor, and 152 days post-admission she presented with hemoptysis managed with intravenous phytomenadi</w:t>
            </w:r>
            <w:r w:rsidRPr="00AD52C5">
              <w:lastRenderedPageBreak/>
              <w:t>one (10 mg).</w:t>
            </w:r>
          </w:p>
        </w:tc>
      </w:tr>
      <w:tr w:rsidR="003625AF" w:rsidRPr="00AD52C5" w:rsidTr="00771CF1">
        <w:trPr>
          <w:trHeight w:val="2403"/>
        </w:trPr>
        <w:tc>
          <w:tcPr>
            <w:tcW w:w="359" w:type="pct"/>
            <w:hideMark/>
          </w:tcPr>
          <w:p w:rsidR="00964748" w:rsidRPr="00AD52C5" w:rsidRDefault="00964748" w:rsidP="00BE7505">
            <w:pPr>
              <w:pStyle w:val="Para"/>
              <w:ind w:firstLine="0"/>
              <w:rPr>
                <w:rFonts w:eastAsia="宋体"/>
                <w:lang w:eastAsia="zh-CN"/>
              </w:rPr>
            </w:pPr>
            <w:r w:rsidRPr="00AD52C5">
              <w:lastRenderedPageBreak/>
              <w:t>Yan et al, 2013</w:t>
            </w:r>
            <w:r w:rsidR="00A2416F" w:rsidRPr="00A2416F">
              <w:rPr>
                <w:vertAlign w:val="superscript"/>
              </w:rPr>
              <w:t>w</w:t>
            </w:r>
            <w:r w:rsidR="00A2416F" w:rsidRPr="00A2416F">
              <w:rPr>
                <w:vertAlign w:val="superscript"/>
              </w:rPr>
              <w:t>7</w:t>
            </w:r>
          </w:p>
        </w:tc>
        <w:tc>
          <w:tcPr>
            <w:tcW w:w="433" w:type="pct"/>
            <w:hideMark/>
          </w:tcPr>
          <w:p w:rsidR="00964748" w:rsidRPr="00AD52C5" w:rsidRDefault="00964748" w:rsidP="00C51984">
            <w:pPr>
              <w:pStyle w:val="Para"/>
              <w:ind w:firstLine="0"/>
            </w:pPr>
            <w:r w:rsidRPr="00AD52C5">
              <w:t>21/F G2P0</w:t>
            </w:r>
          </w:p>
        </w:tc>
        <w:tc>
          <w:tcPr>
            <w:tcW w:w="709" w:type="pct"/>
            <w:hideMark/>
          </w:tcPr>
          <w:p w:rsidR="00964748" w:rsidRPr="00AD52C5" w:rsidRDefault="00964748" w:rsidP="00C51984">
            <w:pPr>
              <w:pStyle w:val="Para"/>
              <w:ind w:firstLine="0"/>
            </w:pPr>
            <w:r w:rsidRPr="00AD52C5">
              <w:rPr>
                <w:rFonts w:eastAsia="宋体"/>
                <w:lang w:eastAsia="zh-CN"/>
              </w:rPr>
              <w:t xml:space="preserve">A </w:t>
            </w:r>
            <w:r w:rsidRPr="00AD52C5">
              <w:t>1-week history of gross hematuria. Fetal movement was normal. Irregular prenatal visits. Acc</w:t>
            </w:r>
            <w:r w:rsidRPr="00AD52C5">
              <w:t>i</w:t>
            </w:r>
            <w:r w:rsidRPr="00AD52C5">
              <w:t>dentally ingested the rat poison 4 days before the onset of hematuria because of the close proximity of the poison to her food pantry</w:t>
            </w:r>
          </w:p>
        </w:tc>
        <w:tc>
          <w:tcPr>
            <w:tcW w:w="527" w:type="pct"/>
            <w:hideMark/>
          </w:tcPr>
          <w:p w:rsidR="00964748" w:rsidRPr="00AD52C5" w:rsidRDefault="00964748" w:rsidP="00C51984">
            <w:pPr>
              <w:pStyle w:val="Para"/>
              <w:ind w:firstLine="0"/>
            </w:pPr>
            <w:r w:rsidRPr="00AD52C5">
              <w:t xml:space="preserve"> </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 xml:space="preserve"> </w:t>
            </w:r>
          </w:p>
        </w:tc>
        <w:tc>
          <w:tcPr>
            <w:tcW w:w="727" w:type="pct"/>
            <w:hideMark/>
          </w:tcPr>
          <w:p w:rsidR="00964748" w:rsidRPr="00AD52C5" w:rsidRDefault="00964748" w:rsidP="00C51984">
            <w:pPr>
              <w:pStyle w:val="Para"/>
              <w:ind w:firstLine="0"/>
            </w:pPr>
            <w:r w:rsidRPr="00AD52C5">
              <w:t xml:space="preserve">High PT + aPTT. Fibrinogen, D-dimer, and fibrin degradation product (FDP) - </w:t>
            </w:r>
            <w:r w:rsidRPr="00AD52C5">
              <w:rPr>
                <w:rFonts w:eastAsia="宋体"/>
                <w:lang w:eastAsia="zh-CN"/>
              </w:rPr>
              <w:t>n</w:t>
            </w:r>
            <w:r w:rsidRPr="00AD52C5">
              <w:t>ormal. Factor 2,</w:t>
            </w:r>
            <w:r w:rsidRPr="00AD52C5">
              <w:rPr>
                <w:rFonts w:eastAsia="宋体"/>
                <w:lang w:eastAsia="zh-CN"/>
              </w:rPr>
              <w:t xml:space="preserve"> </w:t>
            </w:r>
            <w:r w:rsidRPr="00AD52C5">
              <w:t>7,</w:t>
            </w:r>
            <w:r w:rsidRPr="00AD52C5">
              <w:rPr>
                <w:rFonts w:eastAsia="宋体"/>
                <w:lang w:eastAsia="zh-CN"/>
              </w:rPr>
              <w:t xml:space="preserve"> </w:t>
            </w:r>
            <w:r w:rsidRPr="00AD52C5">
              <w:t>9</w:t>
            </w:r>
            <w:r w:rsidRPr="00AD52C5">
              <w:rPr>
                <w:rFonts w:eastAsia="宋体"/>
                <w:lang w:eastAsia="zh-CN"/>
              </w:rPr>
              <w:t xml:space="preserve">, </w:t>
            </w:r>
            <w:r w:rsidRPr="00AD52C5">
              <w:t>10 low. Normal 5,</w:t>
            </w:r>
            <w:r w:rsidRPr="00AD52C5">
              <w:rPr>
                <w:rFonts w:eastAsia="宋体"/>
                <w:lang w:eastAsia="zh-CN"/>
              </w:rPr>
              <w:t xml:space="preserve"> </w:t>
            </w:r>
            <w:r w:rsidRPr="00AD52C5">
              <w:t>8,</w:t>
            </w:r>
            <w:r w:rsidRPr="00AD52C5">
              <w:rPr>
                <w:rFonts w:eastAsia="宋体"/>
                <w:lang w:eastAsia="zh-CN"/>
              </w:rPr>
              <w:t xml:space="preserve"> </w:t>
            </w:r>
            <w:r w:rsidRPr="00AD52C5">
              <w:t>11. High brodifacoum in the patient’s blood (1</w:t>
            </w:r>
            <w:r w:rsidRPr="00AD52C5">
              <w:rPr>
                <w:rFonts w:eastAsia="宋体"/>
                <w:lang w:eastAsia="zh-CN"/>
              </w:rPr>
              <w:t>,</w:t>
            </w:r>
            <w:r w:rsidRPr="00AD52C5">
              <w:t>310 ng/mL), in the umbil</w:t>
            </w:r>
            <w:r w:rsidRPr="00AD52C5">
              <w:t>i</w:t>
            </w:r>
            <w:r w:rsidRPr="00AD52C5">
              <w:t xml:space="preserve">cal cord blood </w:t>
            </w:r>
            <w:r w:rsidRPr="00AD52C5">
              <w:lastRenderedPageBreak/>
              <w:t>(652 ng/mL), amniotic fluid (328 ng/mL), and placenta (1</w:t>
            </w:r>
            <w:r w:rsidRPr="00AD52C5">
              <w:rPr>
                <w:rFonts w:eastAsia="宋体"/>
                <w:lang w:eastAsia="zh-CN"/>
              </w:rPr>
              <w:t>,</w:t>
            </w:r>
            <w:r w:rsidRPr="00AD52C5">
              <w:t>033 ng/mL).</w:t>
            </w:r>
          </w:p>
        </w:tc>
        <w:tc>
          <w:tcPr>
            <w:tcW w:w="504" w:type="pct"/>
            <w:hideMark/>
          </w:tcPr>
          <w:p w:rsidR="00964748" w:rsidRPr="00AD52C5" w:rsidRDefault="00964748" w:rsidP="00C51984">
            <w:pPr>
              <w:pStyle w:val="Para"/>
              <w:ind w:firstLine="0"/>
            </w:pPr>
            <w:r w:rsidRPr="00AD52C5">
              <w:lastRenderedPageBreak/>
              <w:t>Obstetric ultr</w:t>
            </w:r>
            <w:r w:rsidRPr="00AD52C5">
              <w:t>a</w:t>
            </w:r>
            <w:r w:rsidRPr="00AD52C5">
              <w:t xml:space="preserve">sound revealed a live fetus with evidence of intracranial hemorrhage. </w:t>
            </w:r>
          </w:p>
        </w:tc>
        <w:tc>
          <w:tcPr>
            <w:tcW w:w="575" w:type="pct"/>
            <w:hideMark/>
          </w:tcPr>
          <w:p w:rsidR="00964748" w:rsidRPr="00AD52C5" w:rsidRDefault="00964748" w:rsidP="00C51984">
            <w:pPr>
              <w:pStyle w:val="Para"/>
              <w:ind w:firstLine="0"/>
            </w:pPr>
            <w:r w:rsidRPr="00AD52C5">
              <w:t xml:space="preserve">Initially managed with PCC + FFP + IM </w:t>
            </w:r>
            <w:r w:rsidRPr="00AD52C5">
              <w:rPr>
                <w:rFonts w:eastAsia="宋体"/>
                <w:lang w:eastAsia="zh-CN"/>
              </w:rPr>
              <w:t>v</w:t>
            </w:r>
            <w:r w:rsidRPr="00AD52C5">
              <w:t xml:space="preserve">itamin K. FHR lost - </w:t>
            </w:r>
            <w:r w:rsidRPr="00AD52C5">
              <w:rPr>
                <w:rFonts w:eastAsia="宋体"/>
                <w:lang w:eastAsia="zh-CN"/>
              </w:rPr>
              <w:t>s</w:t>
            </w:r>
            <w:r w:rsidRPr="00AD52C5">
              <w:t>tillborn. Autopsy severe hemor</w:t>
            </w:r>
            <w:r w:rsidRPr="00AD52C5">
              <w:t>r</w:t>
            </w:r>
            <w:r w:rsidRPr="00AD52C5">
              <w:t>hagic changes in the brain and lungs and severe autolysis of multiple organs. The patient was followed</w:t>
            </w:r>
            <w:r w:rsidRPr="00AD52C5">
              <w:rPr>
                <w:rFonts w:eastAsia="宋体"/>
                <w:lang w:eastAsia="zh-CN"/>
              </w:rPr>
              <w:t xml:space="preserve"> </w:t>
            </w:r>
            <w:r w:rsidRPr="00AD52C5">
              <w:t xml:space="preserve">up for more than </w:t>
            </w:r>
            <w:r w:rsidRPr="00AD52C5">
              <w:lastRenderedPageBreak/>
              <w:t>8 months and brodifacoum levels in the blood were measured. Patient was treated with vitamin K for several months owing to the long half-life of brodifacoum, and recovered fully.</w:t>
            </w:r>
          </w:p>
        </w:tc>
      </w:tr>
      <w:tr w:rsidR="003625AF" w:rsidRPr="00AD52C5" w:rsidTr="00771CF1">
        <w:trPr>
          <w:trHeight w:val="913"/>
        </w:trPr>
        <w:tc>
          <w:tcPr>
            <w:tcW w:w="359" w:type="pct"/>
            <w:hideMark/>
          </w:tcPr>
          <w:p w:rsidR="00964748" w:rsidRPr="00AD52C5" w:rsidRDefault="00964748" w:rsidP="00BE7505">
            <w:pPr>
              <w:pStyle w:val="Para"/>
              <w:ind w:firstLine="0"/>
              <w:rPr>
                <w:rFonts w:eastAsia="宋体"/>
                <w:lang w:eastAsia="zh-CN"/>
              </w:rPr>
            </w:pPr>
            <w:r w:rsidRPr="00AD52C5">
              <w:lastRenderedPageBreak/>
              <w:t>Rutovic et al, 2013</w:t>
            </w:r>
            <w:r w:rsidR="00A2416F" w:rsidRPr="00A2416F">
              <w:rPr>
                <w:vertAlign w:val="superscript"/>
              </w:rPr>
              <w:t>w</w:t>
            </w:r>
            <w:r w:rsidR="00A2416F" w:rsidRPr="00A2416F">
              <w:rPr>
                <w:vertAlign w:val="superscript"/>
              </w:rPr>
              <w:t>8</w:t>
            </w:r>
          </w:p>
        </w:tc>
        <w:tc>
          <w:tcPr>
            <w:tcW w:w="433" w:type="pct"/>
            <w:hideMark/>
          </w:tcPr>
          <w:p w:rsidR="00964748" w:rsidRPr="00AD52C5" w:rsidRDefault="00964748" w:rsidP="00C51984">
            <w:pPr>
              <w:pStyle w:val="Para"/>
              <w:ind w:firstLine="0"/>
            </w:pPr>
            <w:r w:rsidRPr="00AD52C5">
              <w:t>40/M</w:t>
            </w:r>
          </w:p>
        </w:tc>
        <w:tc>
          <w:tcPr>
            <w:tcW w:w="709" w:type="pct"/>
            <w:hideMark/>
          </w:tcPr>
          <w:p w:rsidR="00964748" w:rsidRPr="00AD52C5" w:rsidRDefault="00964748" w:rsidP="00C51984">
            <w:pPr>
              <w:pStyle w:val="Para"/>
              <w:ind w:firstLine="0"/>
            </w:pPr>
            <w:r w:rsidRPr="00AD52C5">
              <w:t xml:space="preserve">Severe pain in the neck, occipital headache, followed by vomiting and numbness in his left arm. </w:t>
            </w:r>
            <w:r w:rsidRPr="00AD52C5">
              <w:rPr>
                <w:rFonts w:eastAsia="宋体"/>
                <w:lang w:eastAsia="zh-CN"/>
              </w:rPr>
              <w:t>Fifteen</w:t>
            </w:r>
            <w:r w:rsidRPr="00AD52C5">
              <w:t xml:space="preserve"> days before admission he had hematuria, and </w:t>
            </w:r>
            <w:r w:rsidRPr="00AD52C5">
              <w:lastRenderedPageBreak/>
              <w:t xml:space="preserve">was given antibiotics for a presumed urinary tract infection. </w:t>
            </w:r>
            <w:r w:rsidRPr="00AD52C5">
              <w:rPr>
                <w:rFonts w:eastAsia="宋体"/>
                <w:lang w:eastAsia="zh-CN"/>
              </w:rPr>
              <w:t>Twenty</w:t>
            </w:r>
            <w:r w:rsidRPr="00AD52C5">
              <w:t xml:space="preserve"> days prior to admission he a</w:t>
            </w:r>
            <w:r w:rsidRPr="00AD52C5">
              <w:t>t</w:t>
            </w:r>
            <w:r w:rsidRPr="00AD52C5">
              <w:t>tempted suicide by ingesting an unknown quantity of rat poison</w:t>
            </w:r>
            <w:r w:rsidRPr="00AD52C5">
              <w:rPr>
                <w:rFonts w:eastAsia="宋体"/>
                <w:lang w:eastAsia="zh-CN"/>
              </w:rPr>
              <w:t xml:space="preserve"> -</w:t>
            </w:r>
            <w:r w:rsidRPr="00AD52C5">
              <w:t>chlorophacinone poisoning</w:t>
            </w:r>
          </w:p>
        </w:tc>
        <w:tc>
          <w:tcPr>
            <w:tcW w:w="527" w:type="pct"/>
            <w:hideMark/>
          </w:tcPr>
          <w:p w:rsidR="00964748" w:rsidRPr="00AD52C5" w:rsidRDefault="00964748" w:rsidP="00C51984">
            <w:pPr>
              <w:pStyle w:val="Para"/>
              <w:ind w:firstLine="0"/>
            </w:pPr>
            <w:r w:rsidRPr="00AD52C5">
              <w:lastRenderedPageBreak/>
              <w:t xml:space="preserve"> </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Neurological examination revealed neck stiffness without focal neur</w:t>
            </w:r>
            <w:r w:rsidRPr="00AD52C5">
              <w:t>o</w:t>
            </w:r>
            <w:r w:rsidRPr="00AD52C5">
              <w:t>logical deficit.</w:t>
            </w:r>
          </w:p>
        </w:tc>
        <w:tc>
          <w:tcPr>
            <w:tcW w:w="727" w:type="pct"/>
            <w:hideMark/>
          </w:tcPr>
          <w:p w:rsidR="00964748" w:rsidRPr="00AD52C5" w:rsidRDefault="00964748" w:rsidP="00C51984">
            <w:pPr>
              <w:pStyle w:val="Para"/>
              <w:ind w:firstLine="0"/>
            </w:pPr>
            <w:r w:rsidRPr="00AD52C5">
              <w:t>Hb 118 g/L, Hct - 32.2%, hematuria (urine analysis showed mass of red blood cells in sed</w:t>
            </w:r>
            <w:r w:rsidRPr="00AD52C5">
              <w:t>i</w:t>
            </w:r>
            <w:r w:rsidRPr="00AD52C5">
              <w:t xml:space="preserve">ment), prolonged PT </w:t>
            </w:r>
            <w:r w:rsidRPr="00AD52C5">
              <w:lastRenderedPageBreak/>
              <w:t xml:space="preserve">(0 %) and aPTT (127 s). </w:t>
            </w:r>
          </w:p>
        </w:tc>
        <w:tc>
          <w:tcPr>
            <w:tcW w:w="504" w:type="pct"/>
            <w:hideMark/>
          </w:tcPr>
          <w:p w:rsidR="00964748" w:rsidRPr="00AD52C5" w:rsidRDefault="00964748" w:rsidP="00C51984">
            <w:pPr>
              <w:pStyle w:val="Para"/>
              <w:ind w:firstLine="0"/>
            </w:pPr>
            <w:r w:rsidRPr="00AD52C5">
              <w:lastRenderedPageBreak/>
              <w:t>Brain CT - left cerebellar hematoma with perifocal edema, penetrating to infratentori</w:t>
            </w:r>
            <w:r w:rsidRPr="00AD52C5">
              <w:lastRenderedPageBreak/>
              <w:t>al subarachnoid space and a diffuse brain edema surrounding the fourth ve</w:t>
            </w:r>
            <w:r w:rsidRPr="00AD52C5">
              <w:t>n</w:t>
            </w:r>
            <w:r w:rsidRPr="00AD52C5">
              <w:t xml:space="preserve">tricle.  Later CT - complete resorption of hematoma.  </w:t>
            </w:r>
          </w:p>
        </w:tc>
        <w:tc>
          <w:tcPr>
            <w:tcW w:w="575" w:type="pct"/>
            <w:hideMark/>
          </w:tcPr>
          <w:p w:rsidR="00964748" w:rsidRPr="00AD52C5" w:rsidRDefault="00964748" w:rsidP="00C51984">
            <w:pPr>
              <w:pStyle w:val="Para"/>
              <w:ind w:firstLine="0"/>
            </w:pPr>
            <w:r w:rsidRPr="00AD52C5">
              <w:lastRenderedPageBreak/>
              <w:t>Initially managed with 10 % mannitol + 8 mg of dexamethasone + 6 FFP +</w:t>
            </w:r>
            <w:r w:rsidRPr="00AD52C5">
              <w:rPr>
                <w:rFonts w:eastAsia="宋体"/>
                <w:lang w:eastAsia="zh-CN"/>
              </w:rPr>
              <w:t xml:space="preserve"> </w:t>
            </w:r>
            <w:r w:rsidRPr="00AD52C5">
              <w:t xml:space="preserve">20 mg of vitamin K1 + 2 units of </w:t>
            </w:r>
            <w:r w:rsidRPr="00AD52C5">
              <w:lastRenderedPageBreak/>
              <w:t xml:space="preserve">packed red blood cells. Neurological worsening needed osteoplastic craniotomy and evacuation of intracerebellar hematoma. The patient was later intubated and artificially ventilated managed with 60 mg of vitamin K1, 2 units of </w:t>
            </w:r>
            <w:r w:rsidRPr="00AD52C5">
              <w:rPr>
                <w:rFonts w:eastAsia="宋体"/>
                <w:lang w:eastAsia="zh-CN"/>
              </w:rPr>
              <w:t>P</w:t>
            </w:r>
            <w:r w:rsidRPr="00AD52C5">
              <w:t>RBC, 2 units of FFP, and 5 units of p</w:t>
            </w:r>
            <w:r w:rsidRPr="00AD52C5">
              <w:rPr>
                <w:rFonts w:eastAsia="宋体"/>
                <w:lang w:eastAsia="zh-CN"/>
              </w:rPr>
              <w:t>late</w:t>
            </w:r>
            <w:r w:rsidRPr="00AD52C5">
              <w:t>l</w:t>
            </w:r>
            <w:r w:rsidRPr="00AD52C5">
              <w:rPr>
                <w:rFonts w:eastAsia="宋体"/>
                <w:lang w:eastAsia="zh-CN"/>
              </w:rPr>
              <w:t>et</w:t>
            </w:r>
            <w:r w:rsidRPr="00AD52C5">
              <w:t xml:space="preserve">s. After the </w:t>
            </w:r>
            <w:r w:rsidRPr="00AD52C5">
              <w:rPr>
                <w:rFonts w:eastAsia="宋体"/>
                <w:lang w:eastAsia="zh-CN"/>
              </w:rPr>
              <w:t>thi</w:t>
            </w:r>
            <w:r w:rsidRPr="00AD52C5">
              <w:t xml:space="preserve">rd day of treatment </w:t>
            </w:r>
            <w:r w:rsidRPr="00AD52C5">
              <w:lastRenderedPageBreak/>
              <w:t>coagulation normalized. He continued receiving vitamin K1 for another 5 days in the average dose of 40 mg/day. After the 12th day of treatment, his condition improved; he was extubated and breathing spont</w:t>
            </w:r>
            <w:r w:rsidRPr="00AD52C5">
              <w:t>a</w:t>
            </w:r>
            <w:r w:rsidRPr="00AD52C5">
              <w:t>neously and sufficiently.</w:t>
            </w:r>
          </w:p>
        </w:tc>
      </w:tr>
      <w:tr w:rsidR="003625AF" w:rsidRPr="00AD52C5" w:rsidTr="00771CF1">
        <w:trPr>
          <w:trHeight w:val="2897"/>
        </w:trPr>
        <w:tc>
          <w:tcPr>
            <w:tcW w:w="359" w:type="pct"/>
            <w:hideMark/>
          </w:tcPr>
          <w:p w:rsidR="00964748" w:rsidRPr="00AD52C5" w:rsidRDefault="00964748" w:rsidP="00BE7505">
            <w:pPr>
              <w:pStyle w:val="Para"/>
              <w:ind w:firstLine="0"/>
              <w:rPr>
                <w:rFonts w:eastAsia="宋体"/>
                <w:lang w:eastAsia="zh-CN"/>
              </w:rPr>
            </w:pPr>
            <w:r w:rsidRPr="00AD52C5">
              <w:lastRenderedPageBreak/>
              <w:t>Booth et al, 2016</w:t>
            </w:r>
            <w:r w:rsidR="00A2416F" w:rsidRPr="00A2416F">
              <w:rPr>
                <w:vertAlign w:val="superscript"/>
              </w:rPr>
              <w:t>w</w:t>
            </w:r>
            <w:r w:rsidR="00A2416F" w:rsidRPr="00A2416F">
              <w:rPr>
                <w:vertAlign w:val="superscript"/>
              </w:rPr>
              <w:t>9</w:t>
            </w:r>
          </w:p>
        </w:tc>
        <w:tc>
          <w:tcPr>
            <w:tcW w:w="433" w:type="pct"/>
            <w:hideMark/>
          </w:tcPr>
          <w:p w:rsidR="00964748" w:rsidRPr="00AD52C5" w:rsidRDefault="00964748" w:rsidP="00C51984">
            <w:pPr>
              <w:pStyle w:val="Para"/>
              <w:ind w:firstLine="0"/>
            </w:pPr>
            <w:r w:rsidRPr="00AD52C5">
              <w:t>21/M</w:t>
            </w:r>
          </w:p>
        </w:tc>
        <w:tc>
          <w:tcPr>
            <w:tcW w:w="709" w:type="pct"/>
            <w:hideMark/>
          </w:tcPr>
          <w:p w:rsidR="00964748" w:rsidRPr="00AD52C5" w:rsidRDefault="00964748" w:rsidP="00C51984">
            <w:pPr>
              <w:pStyle w:val="Para"/>
              <w:ind w:firstLine="0"/>
            </w:pPr>
            <w:r w:rsidRPr="00AD52C5">
              <w:t>Chest pain. Inhaled, ingested and snorted rat poison a few hours prior to presentation.</w:t>
            </w:r>
          </w:p>
        </w:tc>
        <w:tc>
          <w:tcPr>
            <w:tcW w:w="527" w:type="pct"/>
            <w:hideMark/>
          </w:tcPr>
          <w:p w:rsidR="00964748" w:rsidRPr="00AD52C5" w:rsidRDefault="00964748" w:rsidP="00C51984">
            <w:pPr>
              <w:pStyle w:val="Para"/>
              <w:ind w:firstLine="0"/>
            </w:pPr>
            <w:r w:rsidRPr="00AD52C5">
              <w:t>Schizophrenia and anxiety disor</w:t>
            </w:r>
            <w:r w:rsidRPr="00AD52C5">
              <w:t>d</w:t>
            </w:r>
            <w:r w:rsidRPr="00AD52C5">
              <w:t>er</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 xml:space="preserve"> </w:t>
            </w:r>
          </w:p>
        </w:tc>
        <w:tc>
          <w:tcPr>
            <w:tcW w:w="727" w:type="pct"/>
            <w:hideMark/>
          </w:tcPr>
          <w:p w:rsidR="00964748" w:rsidRPr="00AD52C5" w:rsidRDefault="00964748" w:rsidP="00C51984">
            <w:pPr>
              <w:pStyle w:val="Para"/>
              <w:ind w:firstLine="0"/>
            </w:pPr>
            <w:r w:rsidRPr="00AD52C5">
              <w:t xml:space="preserve">Chemistry and </w:t>
            </w:r>
            <w:r w:rsidRPr="00AD52C5">
              <w:rPr>
                <w:rFonts w:eastAsia="宋体"/>
                <w:lang w:eastAsia="zh-CN"/>
              </w:rPr>
              <w:t>h</w:t>
            </w:r>
            <w:r w:rsidRPr="00AD52C5">
              <w:t>em</w:t>
            </w:r>
            <w:r w:rsidRPr="00AD52C5">
              <w:t>a</w:t>
            </w:r>
            <w:r w:rsidRPr="00AD52C5">
              <w:t>tology labs - WNL</w:t>
            </w:r>
          </w:p>
        </w:tc>
        <w:tc>
          <w:tcPr>
            <w:tcW w:w="504" w:type="pct"/>
            <w:hideMark/>
          </w:tcPr>
          <w:p w:rsidR="00964748" w:rsidRPr="00AD52C5" w:rsidRDefault="00964748" w:rsidP="00C51984">
            <w:pPr>
              <w:pStyle w:val="Para"/>
              <w:ind w:firstLine="0"/>
            </w:pPr>
            <w:r w:rsidRPr="00AD52C5">
              <w:t>CT - small mediastinal hemor</w:t>
            </w:r>
            <w:r w:rsidRPr="00AD52C5">
              <w:t>r</w:t>
            </w:r>
            <w:r w:rsidRPr="00AD52C5">
              <w:t>hage</w:t>
            </w:r>
            <w:r w:rsidRPr="00AD52C5">
              <w:rPr>
                <w:rFonts w:eastAsia="宋体"/>
                <w:lang w:eastAsia="zh-CN"/>
              </w:rPr>
              <w:t>,</w:t>
            </w:r>
            <w:r w:rsidRPr="00AD52C5">
              <w:t xml:space="preserve"> INR - </w:t>
            </w:r>
            <w:r w:rsidRPr="00AD52C5">
              <w:rPr>
                <w:rFonts w:eastAsia="宋体"/>
                <w:lang w:eastAsia="zh-CN"/>
              </w:rPr>
              <w:t>h</w:t>
            </w:r>
            <w:r w:rsidRPr="00AD52C5">
              <w:t>igh</w:t>
            </w:r>
          </w:p>
        </w:tc>
        <w:tc>
          <w:tcPr>
            <w:tcW w:w="575" w:type="pct"/>
            <w:hideMark/>
          </w:tcPr>
          <w:p w:rsidR="00964748" w:rsidRPr="00AD52C5" w:rsidRDefault="00964748" w:rsidP="00C51984">
            <w:pPr>
              <w:pStyle w:val="Para"/>
              <w:ind w:firstLine="0"/>
            </w:pPr>
            <w:r w:rsidRPr="00AD52C5">
              <w:t xml:space="preserve">Initially managed with IV </w:t>
            </w:r>
            <w:r w:rsidRPr="00AD52C5">
              <w:rPr>
                <w:rFonts w:eastAsia="宋体"/>
                <w:lang w:eastAsia="zh-CN"/>
              </w:rPr>
              <w:t>v</w:t>
            </w:r>
            <w:r w:rsidRPr="00AD52C5">
              <w:t>itamin K and FFP. Chest tube was inserted to drain 1</w:t>
            </w:r>
            <w:r w:rsidRPr="00AD52C5">
              <w:rPr>
                <w:rFonts w:eastAsia="宋体"/>
                <w:lang w:eastAsia="zh-CN"/>
              </w:rPr>
              <w:t>,</w:t>
            </w:r>
            <w:r w:rsidRPr="00AD52C5">
              <w:t xml:space="preserve">500 mL hemorrhagic left pleural effusion. These timely interventions helped to bring the INR down to 2.6. Persistent pleural effusions for 22 days while in the ICU required 30 units of FFP during a 4-day period to stabilize his </w:t>
            </w:r>
            <w:r w:rsidRPr="00AD52C5">
              <w:lastRenderedPageBreak/>
              <w:t>coagulation factors along 20 mg of IV vitamin K1 and 50 mg of oral vitamin K1 daily. His INR values normalized to 1.3 at hospital day 22, after which his chest tube was r</w:t>
            </w:r>
            <w:r w:rsidRPr="00AD52C5">
              <w:t>e</w:t>
            </w:r>
            <w:r w:rsidRPr="00AD52C5">
              <w:t xml:space="preserve">moved. Day 28, he was transferred to the psychiatric unit, his IV vitamin K was discontinued, and continued to receive 50 </w:t>
            </w:r>
            <w:r w:rsidRPr="00AD52C5">
              <w:lastRenderedPageBreak/>
              <w:t>mg of oral vitamin K for the rest of his 39-day hospital stay. Qualitative HPLC results on hospital days 3 and 26 verified the presence of brodifacoum, confirming the long half-life of this compound.</w:t>
            </w:r>
          </w:p>
        </w:tc>
      </w:tr>
      <w:tr w:rsidR="003625AF" w:rsidRPr="00AD52C5" w:rsidTr="00771CF1">
        <w:trPr>
          <w:trHeight w:val="2240"/>
        </w:trPr>
        <w:tc>
          <w:tcPr>
            <w:tcW w:w="359" w:type="pct"/>
            <w:hideMark/>
          </w:tcPr>
          <w:p w:rsidR="00964748" w:rsidRPr="00AD52C5" w:rsidRDefault="00964748" w:rsidP="00AF05E9">
            <w:pPr>
              <w:pStyle w:val="Para"/>
              <w:ind w:firstLine="0"/>
              <w:rPr>
                <w:rFonts w:eastAsia="宋体"/>
                <w:lang w:eastAsia="zh-CN"/>
              </w:rPr>
            </w:pPr>
            <w:r w:rsidRPr="00AD52C5">
              <w:lastRenderedPageBreak/>
              <w:t>Reimer et al, 2017</w:t>
            </w:r>
            <w:r w:rsidR="00AF05E9" w:rsidRPr="00AF05E9">
              <w:rPr>
                <w:vertAlign w:val="superscript"/>
              </w:rPr>
              <w:t>w</w:t>
            </w:r>
            <w:r w:rsidR="00BE7505" w:rsidRPr="00AF05E9">
              <w:rPr>
                <w:vertAlign w:val="superscript"/>
              </w:rPr>
              <w:t>10</w:t>
            </w:r>
          </w:p>
        </w:tc>
        <w:tc>
          <w:tcPr>
            <w:tcW w:w="433" w:type="pct"/>
            <w:hideMark/>
          </w:tcPr>
          <w:p w:rsidR="00964748" w:rsidRPr="00AD52C5" w:rsidRDefault="00964748" w:rsidP="00C51984">
            <w:pPr>
              <w:pStyle w:val="Para"/>
              <w:ind w:firstLine="0"/>
            </w:pPr>
            <w:r w:rsidRPr="00AD52C5">
              <w:t>60/M</w:t>
            </w:r>
          </w:p>
        </w:tc>
        <w:tc>
          <w:tcPr>
            <w:tcW w:w="709" w:type="pct"/>
            <w:hideMark/>
          </w:tcPr>
          <w:p w:rsidR="00964748" w:rsidRPr="00AD52C5" w:rsidRDefault="00964748" w:rsidP="00C51984">
            <w:pPr>
              <w:pStyle w:val="Para"/>
              <w:ind w:firstLine="0"/>
            </w:pPr>
            <w:r w:rsidRPr="00AD52C5">
              <w:t>Gross hematuria and abdomi</w:t>
            </w:r>
            <w:r w:rsidRPr="00AD52C5">
              <w:t>n</w:t>
            </w:r>
            <w:r w:rsidRPr="00AD52C5">
              <w:t>al pain of 5</w:t>
            </w:r>
            <w:r w:rsidRPr="00AD52C5">
              <w:rPr>
                <w:rFonts w:eastAsia="宋体"/>
                <w:lang w:eastAsia="zh-CN"/>
              </w:rPr>
              <w:t xml:space="preserve"> </w:t>
            </w:r>
            <w:r w:rsidRPr="00AD52C5">
              <w:t xml:space="preserve">days duration. Intentionally ingested an entire box of </w:t>
            </w:r>
            <w:r w:rsidRPr="00AD52C5">
              <w:rPr>
                <w:rFonts w:eastAsia="宋体"/>
                <w:lang w:eastAsia="zh-CN"/>
              </w:rPr>
              <w:t>d</w:t>
            </w:r>
            <w:r w:rsidRPr="00AD52C5">
              <w:t>-C</w:t>
            </w:r>
            <w:r w:rsidRPr="00AD52C5">
              <w:rPr>
                <w:rFonts w:eastAsia="宋体"/>
                <w:lang w:eastAsia="zh-CN"/>
              </w:rPr>
              <w:t>ON</w:t>
            </w:r>
            <w:r w:rsidRPr="00AD52C5">
              <w:t xml:space="preserve"> rat poison </w:t>
            </w:r>
          </w:p>
        </w:tc>
        <w:tc>
          <w:tcPr>
            <w:tcW w:w="527" w:type="pct"/>
            <w:hideMark/>
          </w:tcPr>
          <w:p w:rsidR="00964748" w:rsidRPr="00AD52C5" w:rsidRDefault="00964748" w:rsidP="00C51984">
            <w:pPr>
              <w:pStyle w:val="Para"/>
              <w:ind w:firstLine="0"/>
            </w:pPr>
            <w:r w:rsidRPr="00AD52C5">
              <w:t xml:space="preserve">Chronic abdominal pain due to repair of an abdominal gunshot wound sustained approximately 10 years prior, </w:t>
            </w:r>
            <w:r w:rsidRPr="00AD52C5">
              <w:lastRenderedPageBreak/>
              <w:t>bipolar, seizure and anxiety disorders - multiple recent hospitali</w:t>
            </w:r>
            <w:r w:rsidRPr="00AD52C5">
              <w:rPr>
                <w:rFonts w:eastAsia="宋体"/>
                <w:lang w:eastAsia="zh-CN"/>
              </w:rPr>
              <w:t>z</w:t>
            </w:r>
            <w:r w:rsidRPr="00AD52C5">
              <w:t xml:space="preserve">ations for treatment of </w:t>
            </w:r>
            <w:r w:rsidRPr="00AD52C5">
              <w:rPr>
                <w:i/>
              </w:rPr>
              <w:t>Clostridium difficile</w:t>
            </w:r>
            <w:r w:rsidRPr="00AD52C5">
              <w:t xml:space="preserve"> colitis </w:t>
            </w:r>
          </w:p>
        </w:tc>
        <w:tc>
          <w:tcPr>
            <w:tcW w:w="480" w:type="pct"/>
            <w:hideMark/>
          </w:tcPr>
          <w:p w:rsidR="00964748" w:rsidRPr="00AD52C5" w:rsidRDefault="00964748" w:rsidP="00C51984">
            <w:pPr>
              <w:pStyle w:val="Para"/>
              <w:ind w:firstLine="0"/>
            </w:pPr>
            <w:r w:rsidRPr="00AD52C5">
              <w:lastRenderedPageBreak/>
              <w:t xml:space="preserve">Depakote ER, Keppra, Seroquel, Xanax and Oxycodone </w:t>
            </w:r>
          </w:p>
        </w:tc>
        <w:tc>
          <w:tcPr>
            <w:tcW w:w="687" w:type="pct"/>
            <w:hideMark/>
          </w:tcPr>
          <w:p w:rsidR="00964748" w:rsidRPr="00AD52C5" w:rsidRDefault="00964748" w:rsidP="00C51984">
            <w:pPr>
              <w:pStyle w:val="Para"/>
              <w:ind w:firstLine="0"/>
            </w:pPr>
            <w:r w:rsidRPr="00AD52C5">
              <w:t>Afebrile, no acute distress but had a withdrawn affect.</w:t>
            </w:r>
            <w:r w:rsidRPr="00AD52C5">
              <w:rPr>
                <w:rFonts w:eastAsia="宋体"/>
                <w:lang w:eastAsia="zh-CN"/>
              </w:rPr>
              <w:t xml:space="preserve"> </w:t>
            </w:r>
            <w:r w:rsidRPr="00AD52C5">
              <w:t xml:space="preserve">Physical exam: soft, non-distended and mildly tender in the midline on palpation. No rebound </w:t>
            </w:r>
            <w:r w:rsidRPr="00AD52C5">
              <w:lastRenderedPageBreak/>
              <w:t>tenderness, guarding or masses were noted on abd</w:t>
            </w:r>
            <w:r w:rsidRPr="00AD52C5">
              <w:t>o</w:t>
            </w:r>
            <w:r w:rsidRPr="00AD52C5">
              <w:t>minal exam. Mucous membranes were moist without lesions or bleeding. His skin was intact without bleeding, bruising or petechiae.</w:t>
            </w:r>
          </w:p>
        </w:tc>
        <w:tc>
          <w:tcPr>
            <w:tcW w:w="727" w:type="pct"/>
            <w:hideMark/>
          </w:tcPr>
          <w:p w:rsidR="00964748" w:rsidRPr="00AD52C5" w:rsidRDefault="00964748" w:rsidP="00C51984">
            <w:pPr>
              <w:pStyle w:val="Para"/>
              <w:ind w:firstLine="0"/>
            </w:pPr>
            <w:r w:rsidRPr="00AD52C5">
              <w:lastRenderedPageBreak/>
              <w:t>Hb 12.6</w:t>
            </w:r>
            <w:r w:rsidRPr="00AD52C5">
              <w:rPr>
                <w:rFonts w:eastAsia="宋体"/>
                <w:lang w:eastAsia="zh-CN"/>
              </w:rPr>
              <w:t xml:space="preserve"> </w:t>
            </w:r>
            <w:r w:rsidRPr="00AD52C5">
              <w:t>g/dL, Hct 36.9%, aspartate aminotransferase 17</w:t>
            </w:r>
            <w:r w:rsidRPr="00AD52C5">
              <w:rPr>
                <w:rFonts w:eastAsia="宋体"/>
                <w:lang w:eastAsia="zh-CN"/>
              </w:rPr>
              <w:t xml:space="preserve"> </w:t>
            </w:r>
            <w:r w:rsidRPr="00AD52C5">
              <w:t>U/L, alanine aminotransferase 11</w:t>
            </w:r>
            <w:r w:rsidRPr="00AD52C5">
              <w:rPr>
                <w:rFonts w:eastAsia="宋体"/>
                <w:lang w:eastAsia="zh-CN"/>
              </w:rPr>
              <w:t xml:space="preserve"> </w:t>
            </w:r>
            <w:r w:rsidRPr="00AD52C5">
              <w:t>U/L, PT &gt;</w:t>
            </w:r>
            <w:r w:rsidRPr="00AD52C5">
              <w:rPr>
                <w:rFonts w:eastAsia="宋体"/>
                <w:lang w:eastAsia="zh-CN"/>
              </w:rPr>
              <w:t xml:space="preserve"> </w:t>
            </w:r>
            <w:r w:rsidRPr="00AD52C5">
              <w:t>100 s. INR &gt;</w:t>
            </w:r>
            <w:r w:rsidRPr="00AD52C5">
              <w:rPr>
                <w:rFonts w:eastAsia="宋体"/>
                <w:lang w:eastAsia="zh-CN"/>
              </w:rPr>
              <w:t xml:space="preserve"> </w:t>
            </w:r>
            <w:r w:rsidRPr="00AD52C5">
              <w:t xml:space="preserve">14.5. </w:t>
            </w:r>
            <w:r w:rsidRPr="00AD52C5">
              <w:lastRenderedPageBreak/>
              <w:t>Urinalysis revealed &gt;</w:t>
            </w:r>
            <w:r w:rsidRPr="00AD52C5">
              <w:rPr>
                <w:rFonts w:eastAsia="宋体"/>
                <w:lang w:eastAsia="zh-CN"/>
              </w:rPr>
              <w:t xml:space="preserve"> </w:t>
            </w:r>
            <w:r w:rsidRPr="00AD52C5">
              <w:t>180</w:t>
            </w:r>
            <w:r w:rsidRPr="00AD52C5">
              <w:rPr>
                <w:rFonts w:eastAsia="宋体"/>
                <w:lang w:eastAsia="zh-CN"/>
              </w:rPr>
              <w:t xml:space="preserve"> </w:t>
            </w:r>
            <w:r w:rsidRPr="00AD52C5">
              <w:t>RBC/high power field.  vitamin K 284</w:t>
            </w:r>
            <w:r w:rsidRPr="00AD52C5">
              <w:rPr>
                <w:rFonts w:eastAsia="宋体"/>
                <w:lang w:eastAsia="zh-CN"/>
              </w:rPr>
              <w:t xml:space="preserve"> </w:t>
            </w:r>
            <w:r w:rsidRPr="00AD52C5">
              <w:t>pg/mL (200</w:t>
            </w:r>
            <w:r w:rsidRPr="00AD52C5">
              <w:rPr>
                <w:rFonts w:eastAsia="宋体"/>
                <w:lang w:eastAsia="zh-CN"/>
              </w:rPr>
              <w:t xml:space="preserve"> - </w:t>
            </w:r>
            <w:r w:rsidRPr="00AD52C5">
              <w:t>3</w:t>
            </w:r>
            <w:r w:rsidRPr="00AD52C5">
              <w:rPr>
                <w:rFonts w:eastAsia="宋体"/>
                <w:lang w:eastAsia="zh-CN"/>
              </w:rPr>
              <w:t>,</w:t>
            </w:r>
            <w:r w:rsidRPr="00AD52C5">
              <w:t>200</w:t>
            </w:r>
            <w:r w:rsidRPr="00AD52C5">
              <w:rPr>
                <w:rFonts w:eastAsia="宋体"/>
                <w:lang w:eastAsia="zh-CN"/>
              </w:rPr>
              <w:t xml:space="preserve"> </w:t>
            </w:r>
            <w:r w:rsidRPr="00AD52C5">
              <w:t>pg/mL), factor II 13%, factor V 99%, factor VII 10%, factor IX 24%, factor X 21% and Coumadin not detectable. The deficiency of all vitamin</w:t>
            </w:r>
            <w:r w:rsidRPr="00AD52C5">
              <w:rPr>
                <w:rFonts w:eastAsia="宋体"/>
                <w:lang w:eastAsia="zh-CN"/>
              </w:rPr>
              <w:t xml:space="preserve"> </w:t>
            </w:r>
            <w:r w:rsidRPr="00AD52C5">
              <w:t xml:space="preserve">K-dependent factors and a normal factor V level </w:t>
            </w:r>
            <w:r w:rsidRPr="00AD52C5">
              <w:lastRenderedPageBreak/>
              <w:t>further supported vitamin K deficiency as opposed to an acquired factor deficiency or liver disease. Additionally, the anticoagulant poisoning panel was positive for brodif</w:t>
            </w:r>
            <w:r w:rsidRPr="00AD52C5">
              <w:t>a</w:t>
            </w:r>
            <w:r w:rsidRPr="00AD52C5">
              <w:t>coum.</w:t>
            </w:r>
          </w:p>
        </w:tc>
        <w:tc>
          <w:tcPr>
            <w:tcW w:w="504" w:type="pct"/>
            <w:hideMark/>
          </w:tcPr>
          <w:p w:rsidR="00964748" w:rsidRPr="00AD52C5" w:rsidRDefault="00964748" w:rsidP="00C51984">
            <w:pPr>
              <w:pStyle w:val="Para"/>
              <w:ind w:firstLine="0"/>
            </w:pPr>
            <w:r w:rsidRPr="00AD52C5">
              <w:lastRenderedPageBreak/>
              <w:t xml:space="preserve">CT - </w:t>
            </w:r>
            <w:r w:rsidRPr="00AD52C5">
              <w:rPr>
                <w:rFonts w:eastAsia="宋体"/>
                <w:lang w:eastAsia="zh-CN"/>
              </w:rPr>
              <w:t>n</w:t>
            </w:r>
            <w:r w:rsidRPr="00AD52C5">
              <w:t>o acute bleeding</w:t>
            </w:r>
          </w:p>
        </w:tc>
        <w:tc>
          <w:tcPr>
            <w:tcW w:w="575" w:type="pct"/>
            <w:hideMark/>
          </w:tcPr>
          <w:p w:rsidR="00964748" w:rsidRPr="00AD52C5" w:rsidRDefault="00964748" w:rsidP="00C51984">
            <w:pPr>
              <w:pStyle w:val="Para"/>
              <w:ind w:firstLine="0"/>
            </w:pPr>
            <w:r w:rsidRPr="00AD52C5">
              <w:rPr>
                <w:rFonts w:eastAsia="宋体"/>
                <w:lang w:eastAsia="zh-CN"/>
              </w:rPr>
              <w:t>Ten</w:t>
            </w:r>
            <w:r w:rsidRPr="00AD52C5">
              <w:t xml:space="preserve"> units of  IV vitamin K in addition to 10</w:t>
            </w:r>
            <w:r w:rsidRPr="00AD52C5">
              <w:rPr>
                <w:rFonts w:eastAsia="宋体"/>
                <w:lang w:eastAsia="zh-CN"/>
              </w:rPr>
              <w:t xml:space="preserve"> </w:t>
            </w:r>
            <w:r w:rsidRPr="00AD52C5">
              <w:t xml:space="preserve">mg of oral vitamin K  - CT - ICU - poor PT and INR response to the vitamin K, 2 units FFP. PT and </w:t>
            </w:r>
            <w:r w:rsidRPr="00AD52C5">
              <w:lastRenderedPageBreak/>
              <w:t>INR - trending downward and trea</w:t>
            </w:r>
            <w:r w:rsidRPr="00AD52C5">
              <w:t>t</w:t>
            </w:r>
            <w:r w:rsidRPr="00AD52C5">
              <w:t xml:space="preserve">ment with oral vitamin K was continued. During his prolonged hospital course, his INR remained elevated, ranging between 3 and 6, requiring daily dosing of vitamin K or FFP as directed by our hematology service. </w:t>
            </w:r>
          </w:p>
        </w:tc>
      </w:tr>
      <w:tr w:rsidR="003625AF" w:rsidRPr="00AD52C5" w:rsidTr="00771CF1">
        <w:trPr>
          <w:trHeight w:val="1269"/>
        </w:trPr>
        <w:tc>
          <w:tcPr>
            <w:tcW w:w="359" w:type="pct"/>
            <w:hideMark/>
          </w:tcPr>
          <w:p w:rsidR="00964748" w:rsidRPr="00AD52C5" w:rsidRDefault="00964748" w:rsidP="00BE7505">
            <w:pPr>
              <w:pStyle w:val="Para"/>
              <w:ind w:firstLine="0"/>
              <w:rPr>
                <w:rFonts w:eastAsia="宋体"/>
                <w:lang w:eastAsia="zh-CN"/>
              </w:rPr>
            </w:pPr>
            <w:r w:rsidRPr="00AD52C5">
              <w:lastRenderedPageBreak/>
              <w:t>Hollinger et al, 1993</w:t>
            </w:r>
            <w:r w:rsidR="0059687B" w:rsidRPr="0059687B">
              <w:rPr>
                <w:vertAlign w:val="superscript"/>
              </w:rPr>
              <w:t>w</w:t>
            </w:r>
            <w:r w:rsidR="00BE7505" w:rsidRPr="0059687B">
              <w:rPr>
                <w:vertAlign w:val="superscript"/>
              </w:rPr>
              <w:t>11</w:t>
            </w:r>
          </w:p>
        </w:tc>
        <w:tc>
          <w:tcPr>
            <w:tcW w:w="433" w:type="pct"/>
            <w:hideMark/>
          </w:tcPr>
          <w:p w:rsidR="00964748" w:rsidRPr="00AD52C5" w:rsidRDefault="00964748" w:rsidP="00C51984">
            <w:pPr>
              <w:pStyle w:val="Para"/>
              <w:ind w:firstLine="0"/>
            </w:pPr>
            <w:r w:rsidRPr="00AD52C5">
              <w:t>38/M</w:t>
            </w:r>
          </w:p>
        </w:tc>
        <w:tc>
          <w:tcPr>
            <w:tcW w:w="709" w:type="pct"/>
            <w:hideMark/>
          </w:tcPr>
          <w:p w:rsidR="00964748" w:rsidRPr="00AD52C5" w:rsidRDefault="00964748" w:rsidP="00C51984">
            <w:pPr>
              <w:pStyle w:val="Para"/>
              <w:ind w:firstLine="0"/>
            </w:pPr>
            <w:r w:rsidRPr="00AD52C5">
              <w:t xml:space="preserve">Bilateral flank pain and gross hematuria. </w:t>
            </w:r>
            <w:r w:rsidRPr="00AD52C5">
              <w:rPr>
                <w:rFonts w:eastAsia="宋体"/>
                <w:lang w:eastAsia="zh-CN"/>
              </w:rPr>
              <w:t>Two to three</w:t>
            </w:r>
            <w:r w:rsidRPr="00AD52C5">
              <w:t xml:space="preserve"> weeks of bruising of the arms and legs, lethargy, malaise, and anorexia with a 4.5-kg weight loss. Five days later gingival </w:t>
            </w:r>
            <w:r w:rsidRPr="00AD52C5">
              <w:lastRenderedPageBreak/>
              <w:t>bleeding and persistent hematuria. Use of the brodif</w:t>
            </w:r>
            <w:r w:rsidRPr="00AD52C5">
              <w:t>a</w:t>
            </w:r>
            <w:r w:rsidRPr="00AD52C5">
              <w:t>coum- containing rodenticide</w:t>
            </w:r>
            <w:r w:rsidRPr="00AD52C5">
              <w:rPr>
                <w:rFonts w:eastAsia="宋体"/>
                <w:lang w:eastAsia="zh-CN"/>
              </w:rPr>
              <w:t xml:space="preserve"> </w:t>
            </w:r>
            <w:r w:rsidRPr="00AD52C5">
              <w:t>Talon-G at the patient's workplace.</w:t>
            </w:r>
          </w:p>
        </w:tc>
        <w:tc>
          <w:tcPr>
            <w:tcW w:w="527" w:type="pct"/>
            <w:hideMark/>
          </w:tcPr>
          <w:p w:rsidR="00964748" w:rsidRPr="00AD52C5" w:rsidRDefault="00964748" w:rsidP="00C51984">
            <w:pPr>
              <w:pStyle w:val="Para"/>
              <w:ind w:firstLine="0"/>
            </w:pPr>
            <w:r w:rsidRPr="00AD52C5">
              <w:lastRenderedPageBreak/>
              <w:t xml:space="preserve"> </w:t>
            </w:r>
          </w:p>
        </w:tc>
        <w:tc>
          <w:tcPr>
            <w:tcW w:w="480" w:type="pct"/>
            <w:hideMark/>
          </w:tcPr>
          <w:p w:rsidR="00964748" w:rsidRPr="00AD52C5" w:rsidRDefault="00964748" w:rsidP="00C51984">
            <w:pPr>
              <w:pStyle w:val="Para"/>
              <w:ind w:firstLine="0"/>
            </w:pPr>
            <w:r w:rsidRPr="00AD52C5">
              <w:t xml:space="preserve"> </w:t>
            </w:r>
          </w:p>
        </w:tc>
        <w:tc>
          <w:tcPr>
            <w:tcW w:w="687" w:type="pct"/>
            <w:hideMark/>
          </w:tcPr>
          <w:p w:rsidR="00964748" w:rsidRPr="00AD52C5" w:rsidRDefault="00964748" w:rsidP="00C51984">
            <w:pPr>
              <w:pStyle w:val="Para"/>
              <w:ind w:firstLine="0"/>
            </w:pPr>
            <w:r w:rsidRPr="00AD52C5">
              <w:t xml:space="preserve">Dried blood on the lips and gingival mucosa. There was no hepatosplenomegaly. Costovertebral angle tenderness was noted bilaterally. Several </w:t>
            </w:r>
            <w:r w:rsidRPr="00AD52C5">
              <w:lastRenderedPageBreak/>
              <w:t>ecchymoses were noted on the extrem</w:t>
            </w:r>
            <w:r w:rsidRPr="00AD52C5">
              <w:t>i</w:t>
            </w:r>
            <w:r w:rsidRPr="00AD52C5">
              <w:t>ties. Bright red blood was draining from a urinary catheter. Stool was brown and positive for occult blood.</w:t>
            </w:r>
          </w:p>
        </w:tc>
        <w:tc>
          <w:tcPr>
            <w:tcW w:w="727" w:type="pct"/>
            <w:hideMark/>
          </w:tcPr>
          <w:p w:rsidR="00964748" w:rsidRPr="00AD52C5" w:rsidRDefault="00964748" w:rsidP="00C51984">
            <w:pPr>
              <w:pStyle w:val="Para"/>
              <w:ind w:firstLine="0"/>
            </w:pPr>
            <w:r w:rsidRPr="00AD52C5">
              <w:lastRenderedPageBreak/>
              <w:t>Cystoscopy revealed blood draining from both ureters. PT &gt;</w:t>
            </w:r>
            <w:r w:rsidRPr="00AD52C5">
              <w:rPr>
                <w:rFonts w:eastAsia="宋体"/>
                <w:lang w:eastAsia="zh-CN"/>
              </w:rPr>
              <w:t xml:space="preserve"> </w:t>
            </w:r>
            <w:r w:rsidRPr="00AD52C5">
              <w:t>60 s, PTT, 90.4 s and thro</w:t>
            </w:r>
            <w:r w:rsidRPr="00AD52C5">
              <w:t>m</w:t>
            </w:r>
            <w:r w:rsidRPr="00AD52C5">
              <w:t xml:space="preserve">bin clotting time, 10.5 s. Urinalysis </w:t>
            </w:r>
            <w:r w:rsidRPr="00AD52C5">
              <w:lastRenderedPageBreak/>
              <w:t>revealed &gt;</w:t>
            </w:r>
            <w:r w:rsidRPr="00AD52C5">
              <w:rPr>
                <w:rFonts w:eastAsia="宋体"/>
                <w:lang w:eastAsia="zh-CN"/>
              </w:rPr>
              <w:t xml:space="preserve"> </w:t>
            </w:r>
            <w:r w:rsidRPr="00AD52C5">
              <w:t>100 RBCs per high</w:t>
            </w:r>
            <w:r w:rsidRPr="00AD52C5">
              <w:rPr>
                <w:rFonts w:eastAsia="宋体"/>
                <w:lang w:eastAsia="zh-CN"/>
              </w:rPr>
              <w:t xml:space="preserve"> </w:t>
            </w:r>
            <w:r w:rsidRPr="00AD52C5">
              <w:t>power field. Factor II, 7%; factor</w:t>
            </w:r>
            <w:r w:rsidRPr="00AD52C5">
              <w:rPr>
                <w:rFonts w:eastAsia="宋体"/>
                <w:lang w:eastAsia="zh-CN"/>
              </w:rPr>
              <w:t xml:space="preserve"> </w:t>
            </w:r>
            <w:r w:rsidRPr="00AD52C5">
              <w:t>V,</w:t>
            </w:r>
            <w:r w:rsidRPr="00AD52C5">
              <w:rPr>
                <w:rFonts w:eastAsia="宋体"/>
                <w:lang w:eastAsia="zh-CN"/>
              </w:rPr>
              <w:t xml:space="preserve"> </w:t>
            </w:r>
            <w:r w:rsidRPr="00AD52C5">
              <w:t>171%; factor</w:t>
            </w:r>
            <w:r w:rsidRPr="00AD52C5">
              <w:rPr>
                <w:rFonts w:eastAsia="宋体"/>
                <w:lang w:eastAsia="zh-CN"/>
              </w:rPr>
              <w:t xml:space="preserve"> </w:t>
            </w:r>
            <w:r w:rsidRPr="00AD52C5">
              <w:t>VII</w:t>
            </w:r>
            <w:r w:rsidRPr="00AD52C5">
              <w:rPr>
                <w:rFonts w:eastAsia="宋体"/>
                <w:lang w:eastAsia="zh-CN"/>
              </w:rPr>
              <w:t>,</w:t>
            </w:r>
            <w:r w:rsidRPr="00AD52C5">
              <w:t xml:space="preserve"> less</w:t>
            </w:r>
            <w:r w:rsidRPr="00AD52C5">
              <w:rPr>
                <w:rFonts w:eastAsia="宋体"/>
                <w:lang w:eastAsia="zh-CN"/>
              </w:rPr>
              <w:t xml:space="preserve"> </w:t>
            </w:r>
            <w:r w:rsidRPr="00AD52C5">
              <w:t>than 1%; factor VIII</w:t>
            </w:r>
            <w:r w:rsidRPr="00AD52C5">
              <w:rPr>
                <w:rFonts w:eastAsia="宋体"/>
                <w:lang w:eastAsia="zh-CN"/>
              </w:rPr>
              <w:t>,</w:t>
            </w:r>
            <w:r w:rsidRPr="00AD52C5">
              <w:t xml:space="preserve"> 253%; factor IX, 4%; and factor X, 2%.</w:t>
            </w:r>
          </w:p>
        </w:tc>
        <w:tc>
          <w:tcPr>
            <w:tcW w:w="504" w:type="pct"/>
            <w:hideMark/>
          </w:tcPr>
          <w:p w:rsidR="00964748" w:rsidRPr="00AD52C5" w:rsidRDefault="00964748" w:rsidP="00C51984">
            <w:pPr>
              <w:pStyle w:val="Para"/>
              <w:ind w:firstLine="0"/>
            </w:pPr>
            <w:r w:rsidRPr="00AD52C5">
              <w:lastRenderedPageBreak/>
              <w:t xml:space="preserve">A filling defect in the right renal pelvis was discovered by retrograde urography and confirmed </w:t>
            </w:r>
            <w:r w:rsidRPr="00AD52C5">
              <w:lastRenderedPageBreak/>
              <w:t xml:space="preserve">by computed tomography </w:t>
            </w:r>
          </w:p>
        </w:tc>
        <w:tc>
          <w:tcPr>
            <w:tcW w:w="575" w:type="pct"/>
            <w:hideMark/>
          </w:tcPr>
          <w:p w:rsidR="00964748" w:rsidRPr="00AD52C5" w:rsidRDefault="00964748" w:rsidP="00C51984">
            <w:pPr>
              <w:pStyle w:val="Para"/>
              <w:ind w:firstLine="0"/>
            </w:pPr>
            <w:r w:rsidRPr="00AD52C5">
              <w:lastRenderedPageBreak/>
              <w:t xml:space="preserve">Initially managed with FFP + </w:t>
            </w:r>
            <w:r w:rsidRPr="00AD52C5">
              <w:rPr>
                <w:rFonts w:eastAsia="宋体"/>
                <w:lang w:eastAsia="zh-CN"/>
              </w:rPr>
              <w:t>v</w:t>
            </w:r>
            <w:r w:rsidRPr="00AD52C5">
              <w:t xml:space="preserve">itamin K administered orally, subcutaneously, and later intravenously + 2 U of packed red </w:t>
            </w:r>
            <w:r w:rsidRPr="00AD52C5">
              <w:lastRenderedPageBreak/>
              <w:t>blood cells. Hematuria resolved 10 days after presentation. Subsequently, there was no further bruising bleeding. Phytonadione was increased to 45 mg/d</w:t>
            </w:r>
            <w:r w:rsidRPr="00AD52C5">
              <w:rPr>
                <w:rFonts w:eastAsia="宋体"/>
                <w:lang w:eastAsia="zh-CN"/>
              </w:rPr>
              <w:t>ay</w:t>
            </w:r>
            <w:r w:rsidRPr="00AD52C5">
              <w:t xml:space="preserve"> by combined routes, and 14 days after presentation the PT decreased to 1.5 times the control level. 21 days after presentation he was discharged receiving 50 mg/d</w:t>
            </w:r>
            <w:r w:rsidRPr="00AD52C5">
              <w:rPr>
                <w:rFonts w:eastAsia="宋体"/>
                <w:lang w:eastAsia="zh-CN"/>
              </w:rPr>
              <w:t>ay</w:t>
            </w:r>
            <w:r w:rsidRPr="00AD52C5">
              <w:t xml:space="preserve"> of </w:t>
            </w:r>
            <w:r w:rsidRPr="00AD52C5">
              <w:lastRenderedPageBreak/>
              <w:t xml:space="preserve">oral phytonadione. A maculopapular erythematous rash appeared in a distribution overlying previous subcutaneous phytonadione injection sites at 6 weeks after presentation. This rash resolved with antihistamines and topical steroids, without discontinuation of oral phytonadione. When the </w:t>
            </w:r>
            <w:r w:rsidRPr="00AD52C5">
              <w:lastRenderedPageBreak/>
              <w:t>PT normalized, the phytonadione dosage was tapered and then finally discontinued 114 days after present</w:t>
            </w:r>
            <w:r w:rsidRPr="00AD52C5">
              <w:t>a</w:t>
            </w:r>
            <w:r w:rsidRPr="00AD52C5">
              <w:t>tion. Subsequent PTs remained normal.</w:t>
            </w:r>
          </w:p>
        </w:tc>
      </w:tr>
      <w:tr w:rsidR="003625AF" w:rsidRPr="00AD52C5" w:rsidTr="00771CF1">
        <w:trPr>
          <w:trHeight w:val="346"/>
        </w:trPr>
        <w:tc>
          <w:tcPr>
            <w:tcW w:w="359" w:type="pct"/>
            <w:tcBorders>
              <w:bottom w:val="single" w:sz="4" w:space="0" w:color="auto"/>
            </w:tcBorders>
            <w:hideMark/>
          </w:tcPr>
          <w:p w:rsidR="00964748" w:rsidRPr="00AD52C5" w:rsidRDefault="00964748" w:rsidP="00BE7505">
            <w:pPr>
              <w:pStyle w:val="Para"/>
              <w:ind w:firstLine="0"/>
              <w:rPr>
                <w:rFonts w:eastAsia="宋体"/>
                <w:lang w:eastAsia="zh-CN"/>
              </w:rPr>
            </w:pPr>
            <w:r w:rsidRPr="00AD52C5">
              <w:lastRenderedPageBreak/>
              <w:t>Butchery et al, 1992</w:t>
            </w:r>
            <w:r w:rsidR="003625AF" w:rsidRPr="003625AF">
              <w:rPr>
                <w:vertAlign w:val="superscript"/>
              </w:rPr>
              <w:t>w</w:t>
            </w:r>
            <w:r w:rsidR="00BE7505" w:rsidRPr="003625AF">
              <w:rPr>
                <w:vertAlign w:val="superscript"/>
              </w:rPr>
              <w:t>12</w:t>
            </w:r>
          </w:p>
        </w:tc>
        <w:tc>
          <w:tcPr>
            <w:tcW w:w="433" w:type="pct"/>
            <w:tcBorders>
              <w:bottom w:val="single" w:sz="4" w:space="0" w:color="auto"/>
            </w:tcBorders>
            <w:hideMark/>
          </w:tcPr>
          <w:p w:rsidR="00964748" w:rsidRPr="00AD52C5" w:rsidRDefault="00964748" w:rsidP="00C51984">
            <w:pPr>
              <w:pStyle w:val="Para"/>
              <w:ind w:firstLine="0"/>
            </w:pPr>
            <w:r w:rsidRPr="00AD52C5">
              <w:t>34/M</w:t>
            </w:r>
          </w:p>
        </w:tc>
        <w:tc>
          <w:tcPr>
            <w:tcW w:w="709" w:type="pct"/>
            <w:tcBorders>
              <w:bottom w:val="single" w:sz="4" w:space="0" w:color="auto"/>
            </w:tcBorders>
            <w:hideMark/>
          </w:tcPr>
          <w:p w:rsidR="00964748" w:rsidRPr="00AD52C5" w:rsidRDefault="00964748" w:rsidP="00C51984">
            <w:pPr>
              <w:pStyle w:val="Para"/>
              <w:ind w:firstLine="0"/>
            </w:pPr>
            <w:r w:rsidRPr="00AD52C5">
              <w:rPr>
                <w:rFonts w:eastAsia="宋体"/>
                <w:lang w:eastAsia="zh-CN"/>
              </w:rPr>
              <w:t xml:space="preserve">A </w:t>
            </w:r>
            <w:r w:rsidRPr="00AD52C5">
              <w:t>4</w:t>
            </w:r>
            <w:r w:rsidRPr="00AD52C5">
              <w:rPr>
                <w:rFonts w:eastAsia="宋体"/>
                <w:lang w:eastAsia="zh-CN"/>
              </w:rPr>
              <w:t>-</w:t>
            </w:r>
            <w:r w:rsidRPr="00AD52C5">
              <w:t>day history of frank, painless hemat</w:t>
            </w:r>
            <w:r w:rsidRPr="00AD52C5">
              <w:t>u</w:t>
            </w:r>
            <w:r w:rsidRPr="00AD52C5">
              <w:t xml:space="preserve">ria and bleeding from gums and skin. One sachet per day of </w:t>
            </w:r>
            <w:r w:rsidRPr="00AD52C5">
              <w:rPr>
                <w:rFonts w:eastAsia="宋体"/>
                <w:lang w:eastAsia="zh-CN"/>
              </w:rPr>
              <w:t>“</w:t>
            </w:r>
            <w:r w:rsidRPr="00AD52C5">
              <w:t>Ratak</w:t>
            </w:r>
            <w:r w:rsidRPr="00AD52C5">
              <w:rPr>
                <w:rFonts w:eastAsia="宋体"/>
                <w:lang w:eastAsia="zh-CN"/>
              </w:rPr>
              <w:t>”</w:t>
            </w:r>
            <w:r w:rsidRPr="00AD52C5">
              <w:t xml:space="preserve"> - 1 month. </w:t>
            </w:r>
          </w:p>
        </w:tc>
        <w:tc>
          <w:tcPr>
            <w:tcW w:w="527" w:type="pct"/>
            <w:tcBorders>
              <w:bottom w:val="single" w:sz="4" w:space="0" w:color="auto"/>
            </w:tcBorders>
            <w:hideMark/>
          </w:tcPr>
          <w:p w:rsidR="00964748" w:rsidRPr="00AD52C5" w:rsidRDefault="00964748" w:rsidP="00C51984">
            <w:pPr>
              <w:pStyle w:val="Para"/>
              <w:ind w:firstLine="0"/>
            </w:pPr>
            <w:r w:rsidRPr="00AD52C5">
              <w:t xml:space="preserve"> </w:t>
            </w:r>
          </w:p>
        </w:tc>
        <w:tc>
          <w:tcPr>
            <w:tcW w:w="480" w:type="pct"/>
            <w:tcBorders>
              <w:bottom w:val="single" w:sz="4" w:space="0" w:color="auto"/>
            </w:tcBorders>
            <w:hideMark/>
          </w:tcPr>
          <w:p w:rsidR="00964748" w:rsidRPr="00AD52C5" w:rsidRDefault="00964748" w:rsidP="00C51984">
            <w:pPr>
              <w:pStyle w:val="Para"/>
              <w:ind w:firstLine="0"/>
            </w:pPr>
            <w:r w:rsidRPr="00AD52C5">
              <w:t xml:space="preserve">Dothiepin for 2 months </w:t>
            </w:r>
          </w:p>
        </w:tc>
        <w:tc>
          <w:tcPr>
            <w:tcW w:w="687" w:type="pct"/>
            <w:tcBorders>
              <w:bottom w:val="single" w:sz="4" w:space="0" w:color="auto"/>
            </w:tcBorders>
            <w:hideMark/>
          </w:tcPr>
          <w:p w:rsidR="00964748" w:rsidRPr="00AD52C5" w:rsidRDefault="00964748" w:rsidP="00C51984">
            <w:pPr>
              <w:pStyle w:val="Para"/>
              <w:ind w:firstLine="0"/>
            </w:pPr>
            <w:r w:rsidRPr="00AD52C5">
              <w:t>Self i</w:t>
            </w:r>
            <w:r w:rsidRPr="00AD52C5">
              <w:t>n</w:t>
            </w:r>
            <w:r w:rsidRPr="00AD52C5">
              <w:t>flicted scars on wrist</w:t>
            </w:r>
          </w:p>
        </w:tc>
        <w:tc>
          <w:tcPr>
            <w:tcW w:w="727" w:type="pct"/>
            <w:tcBorders>
              <w:bottom w:val="single" w:sz="4" w:space="0" w:color="auto"/>
            </w:tcBorders>
            <w:hideMark/>
          </w:tcPr>
          <w:p w:rsidR="00964748" w:rsidRPr="00AD52C5" w:rsidRDefault="00964748" w:rsidP="00C51984">
            <w:pPr>
              <w:pStyle w:val="Para"/>
              <w:ind w:firstLine="0"/>
            </w:pPr>
            <w:r w:rsidRPr="00AD52C5">
              <w:t>PT &gt;</w:t>
            </w:r>
            <w:r w:rsidRPr="00AD52C5">
              <w:rPr>
                <w:rFonts w:eastAsia="宋体"/>
                <w:lang w:eastAsia="zh-CN"/>
              </w:rPr>
              <w:t xml:space="preserve"> </w:t>
            </w:r>
            <w:r w:rsidRPr="00AD52C5">
              <w:t>90 s (control = 16 s), PTT &gt;</w:t>
            </w:r>
            <w:r w:rsidRPr="00AD52C5">
              <w:rPr>
                <w:rFonts w:eastAsia="宋体"/>
                <w:lang w:eastAsia="zh-CN"/>
              </w:rPr>
              <w:t xml:space="preserve"> </w:t>
            </w:r>
            <w:r w:rsidRPr="00AD52C5">
              <w:t xml:space="preserve">150 s, </w:t>
            </w:r>
            <w:r w:rsidRPr="00AD52C5">
              <w:rPr>
                <w:rFonts w:eastAsia="宋体"/>
                <w:lang w:eastAsia="zh-CN"/>
              </w:rPr>
              <w:t>t</w:t>
            </w:r>
            <w:r w:rsidRPr="00AD52C5">
              <w:t>hrombin time 16</w:t>
            </w:r>
            <w:r w:rsidRPr="00AD52C5">
              <w:rPr>
                <w:rFonts w:eastAsia="宋体"/>
                <w:lang w:eastAsia="zh-CN"/>
              </w:rPr>
              <w:t xml:space="preserve"> s</w:t>
            </w:r>
            <w:r w:rsidRPr="00AD52C5">
              <w:t>, fibrinogen concentration 6.2</w:t>
            </w:r>
            <w:r w:rsidRPr="00AD52C5">
              <w:rPr>
                <w:rFonts w:eastAsia="宋体"/>
                <w:lang w:eastAsia="zh-CN"/>
              </w:rPr>
              <w:t xml:space="preserve"> </w:t>
            </w:r>
            <w:r w:rsidRPr="00AD52C5">
              <w:t>g/</w:t>
            </w:r>
            <w:r w:rsidRPr="00AD52C5">
              <w:rPr>
                <w:rFonts w:eastAsia="宋体"/>
                <w:lang w:eastAsia="zh-CN"/>
              </w:rPr>
              <w:t xml:space="preserve">L </w:t>
            </w:r>
            <w:r w:rsidRPr="00AD52C5">
              <w:t>(n</w:t>
            </w:r>
            <w:r w:rsidRPr="00AD52C5">
              <w:rPr>
                <w:rFonts w:eastAsia="宋体"/>
                <w:lang w:eastAsia="zh-CN"/>
              </w:rPr>
              <w:t xml:space="preserve"> </w:t>
            </w:r>
            <w:r w:rsidRPr="00AD52C5">
              <w:t>= 1.5</w:t>
            </w:r>
            <w:r w:rsidRPr="00AD52C5">
              <w:rPr>
                <w:rFonts w:eastAsia="宋体"/>
                <w:lang w:eastAsia="zh-CN"/>
              </w:rPr>
              <w:t xml:space="preserve"> </w:t>
            </w:r>
            <w:r w:rsidRPr="00AD52C5">
              <w:t>-</w:t>
            </w:r>
            <w:r w:rsidRPr="00AD52C5">
              <w:rPr>
                <w:rFonts w:eastAsia="宋体"/>
                <w:lang w:eastAsia="zh-CN"/>
              </w:rPr>
              <w:t xml:space="preserve"> </w:t>
            </w:r>
            <w:r w:rsidRPr="00AD52C5">
              <w:t>4.0</w:t>
            </w:r>
            <w:r w:rsidRPr="00AD52C5">
              <w:rPr>
                <w:rFonts w:eastAsia="宋体"/>
                <w:lang w:eastAsia="zh-CN"/>
              </w:rPr>
              <w:t xml:space="preserve"> </w:t>
            </w:r>
            <w:r w:rsidRPr="00AD52C5">
              <w:t>g/</w:t>
            </w:r>
            <w:r w:rsidRPr="00AD52C5">
              <w:rPr>
                <w:rFonts w:eastAsia="宋体"/>
                <w:lang w:eastAsia="zh-CN"/>
              </w:rPr>
              <w:t>L</w:t>
            </w:r>
            <w:r w:rsidRPr="00AD52C5">
              <w:t>) and fibrinogen degrad</w:t>
            </w:r>
            <w:r w:rsidRPr="00AD52C5">
              <w:t>a</w:t>
            </w:r>
            <w:r w:rsidRPr="00AD52C5">
              <w:t xml:space="preserve">tion </w:t>
            </w:r>
            <w:r w:rsidRPr="00AD52C5">
              <w:lastRenderedPageBreak/>
              <w:t>products 80 ~g m</w:t>
            </w:r>
            <w:r w:rsidRPr="00AD52C5">
              <w:rPr>
                <w:rFonts w:eastAsia="宋体"/>
                <w:lang w:eastAsia="zh-CN"/>
              </w:rPr>
              <w:t>L</w:t>
            </w:r>
            <w:r w:rsidRPr="00AD52C5">
              <w:t>-I (n = &lt; 40 ~ m</w:t>
            </w:r>
            <w:r w:rsidRPr="00AD52C5">
              <w:rPr>
                <w:rFonts w:eastAsia="宋体"/>
                <w:lang w:eastAsia="zh-CN"/>
              </w:rPr>
              <w:t>L</w:t>
            </w:r>
            <w:r w:rsidRPr="00AD52C5">
              <w:t xml:space="preserve">-I). </w:t>
            </w:r>
          </w:p>
        </w:tc>
        <w:tc>
          <w:tcPr>
            <w:tcW w:w="504" w:type="pct"/>
            <w:tcBorders>
              <w:bottom w:val="single" w:sz="4" w:space="0" w:color="auto"/>
            </w:tcBorders>
            <w:hideMark/>
          </w:tcPr>
          <w:p w:rsidR="00964748" w:rsidRPr="00AD52C5" w:rsidRDefault="00964748" w:rsidP="00C51984">
            <w:pPr>
              <w:pStyle w:val="Para"/>
              <w:ind w:firstLine="0"/>
            </w:pPr>
            <w:r w:rsidRPr="00AD52C5">
              <w:lastRenderedPageBreak/>
              <w:t xml:space="preserve"> </w:t>
            </w:r>
          </w:p>
        </w:tc>
        <w:tc>
          <w:tcPr>
            <w:tcW w:w="575" w:type="pct"/>
            <w:tcBorders>
              <w:bottom w:val="single" w:sz="4" w:space="0" w:color="auto"/>
            </w:tcBorders>
            <w:hideMark/>
          </w:tcPr>
          <w:p w:rsidR="00964748" w:rsidRPr="00AD52C5" w:rsidRDefault="00964748" w:rsidP="00C51984">
            <w:pPr>
              <w:pStyle w:val="Para"/>
              <w:ind w:firstLine="0"/>
            </w:pPr>
            <w:r w:rsidRPr="00AD52C5">
              <w:t>Initially managed with vitamin</w:t>
            </w:r>
            <w:r w:rsidRPr="00AD52C5">
              <w:rPr>
                <w:rFonts w:eastAsia="宋体"/>
                <w:lang w:eastAsia="zh-CN"/>
              </w:rPr>
              <w:t xml:space="preserve"> </w:t>
            </w:r>
            <w:r w:rsidRPr="00AD52C5">
              <w:t>K, 10</w:t>
            </w:r>
            <w:r w:rsidRPr="00AD52C5">
              <w:rPr>
                <w:rFonts w:eastAsia="宋体"/>
                <w:lang w:eastAsia="zh-CN"/>
              </w:rPr>
              <w:t xml:space="preserve"> </w:t>
            </w:r>
            <w:r w:rsidRPr="00AD52C5">
              <w:t xml:space="preserve">mg IV for 13 </w:t>
            </w:r>
            <w:r w:rsidRPr="00AD52C5">
              <w:rPr>
                <w:rFonts w:eastAsia="宋体"/>
                <w:lang w:eastAsia="zh-CN"/>
              </w:rPr>
              <w:t>d</w:t>
            </w:r>
            <w:r w:rsidRPr="00AD52C5">
              <w:t>ays</w:t>
            </w:r>
            <w:r w:rsidRPr="00AD52C5">
              <w:rPr>
                <w:rFonts w:eastAsia="宋体"/>
                <w:lang w:eastAsia="zh-CN"/>
              </w:rPr>
              <w:t xml:space="preserve">. </w:t>
            </w:r>
            <w:r w:rsidRPr="00AD52C5">
              <w:t xml:space="preserve">Hematuria resolved by day 9. The patient improved clinically, and continued </w:t>
            </w:r>
            <w:r w:rsidRPr="00AD52C5">
              <w:lastRenderedPageBreak/>
              <w:t>follow-up with all hemat</w:t>
            </w:r>
            <w:r w:rsidRPr="00AD52C5">
              <w:t>o</w:t>
            </w:r>
            <w:r w:rsidRPr="00AD52C5">
              <w:t>logical indices returning to normal, the prothrombin time finally returning to normal after 10 weeks.</w:t>
            </w:r>
          </w:p>
        </w:tc>
      </w:tr>
    </w:tbl>
    <w:p w:rsidR="00000000" w:rsidRDefault="00964748" w:rsidP="00C51984">
      <w:pPr>
        <w:rPr>
          <w:rFonts w:eastAsia="宋体"/>
          <w:sz w:val="24"/>
          <w:szCs w:val="24"/>
        </w:rPr>
      </w:pPr>
      <w:r w:rsidRPr="00AD52C5">
        <w:rPr>
          <w:rStyle w:val="None"/>
          <w:sz w:val="24"/>
          <w:szCs w:val="24"/>
        </w:rPr>
        <w:lastRenderedPageBreak/>
        <w:t>CT: computed tomography</w:t>
      </w:r>
      <w:r w:rsidRPr="00AD52C5">
        <w:rPr>
          <w:rStyle w:val="None"/>
          <w:rFonts w:eastAsia="宋体"/>
          <w:sz w:val="24"/>
          <w:szCs w:val="24"/>
        </w:rPr>
        <w:t xml:space="preserve">; Hb: hemoglobin; Hct: </w:t>
      </w:r>
      <w:r w:rsidRPr="00AD52C5">
        <w:rPr>
          <w:rFonts w:eastAsia="宋体"/>
          <w:sz w:val="24"/>
          <w:szCs w:val="24"/>
        </w:rPr>
        <w:t xml:space="preserve">hematocrit; HTN: hypertension; DM: diabetes mellitus; </w:t>
      </w:r>
      <w:r w:rsidRPr="00AD52C5">
        <w:rPr>
          <w:rStyle w:val="None"/>
          <w:sz w:val="24"/>
          <w:szCs w:val="24"/>
        </w:rPr>
        <w:t>PT</w:t>
      </w:r>
      <w:r w:rsidRPr="00AD52C5">
        <w:rPr>
          <w:rStyle w:val="None"/>
          <w:rFonts w:eastAsia="宋体"/>
          <w:sz w:val="24"/>
          <w:szCs w:val="24"/>
        </w:rPr>
        <w:t>:</w:t>
      </w:r>
      <w:r w:rsidRPr="00AD52C5">
        <w:rPr>
          <w:rStyle w:val="None"/>
          <w:sz w:val="24"/>
          <w:szCs w:val="24"/>
        </w:rPr>
        <w:t xml:space="preserve"> prothrombin time</w:t>
      </w:r>
      <w:r w:rsidRPr="00AD52C5">
        <w:rPr>
          <w:rStyle w:val="None"/>
          <w:rFonts w:eastAsia="宋体"/>
          <w:sz w:val="24"/>
          <w:szCs w:val="24"/>
        </w:rPr>
        <w:t>;</w:t>
      </w:r>
      <w:r w:rsidRPr="00AD52C5">
        <w:rPr>
          <w:rStyle w:val="None"/>
          <w:sz w:val="24"/>
          <w:szCs w:val="24"/>
        </w:rPr>
        <w:t xml:space="preserve"> aPTT</w:t>
      </w:r>
      <w:r w:rsidRPr="00AD52C5">
        <w:rPr>
          <w:rStyle w:val="None"/>
          <w:rFonts w:eastAsia="宋体"/>
          <w:sz w:val="24"/>
          <w:szCs w:val="24"/>
        </w:rPr>
        <w:t>:</w:t>
      </w:r>
      <w:r w:rsidRPr="00AD52C5">
        <w:rPr>
          <w:rStyle w:val="None"/>
          <w:sz w:val="24"/>
          <w:szCs w:val="24"/>
        </w:rPr>
        <w:t xml:space="preserve"> activated</w:t>
      </w:r>
      <w:r w:rsidRPr="00AD52C5">
        <w:rPr>
          <w:rStyle w:val="None"/>
          <w:rFonts w:eastAsia="宋体"/>
          <w:sz w:val="24"/>
          <w:szCs w:val="24"/>
        </w:rPr>
        <w:t xml:space="preserve"> </w:t>
      </w:r>
      <w:r w:rsidRPr="00AD52C5">
        <w:rPr>
          <w:rStyle w:val="None"/>
          <w:sz w:val="24"/>
          <w:szCs w:val="24"/>
        </w:rPr>
        <w:t>partial thromboplastin time</w:t>
      </w:r>
      <w:r w:rsidRPr="00AD52C5">
        <w:rPr>
          <w:rStyle w:val="None"/>
          <w:rFonts w:eastAsia="宋体"/>
          <w:sz w:val="24"/>
          <w:szCs w:val="24"/>
        </w:rPr>
        <w:t>;</w:t>
      </w:r>
      <w:r w:rsidRPr="00AD52C5">
        <w:rPr>
          <w:rStyle w:val="None"/>
          <w:sz w:val="24"/>
          <w:szCs w:val="24"/>
        </w:rPr>
        <w:t xml:space="preserve"> INR</w:t>
      </w:r>
      <w:r w:rsidRPr="00AD52C5">
        <w:rPr>
          <w:rStyle w:val="None"/>
          <w:rFonts w:eastAsia="宋体"/>
          <w:sz w:val="24"/>
          <w:szCs w:val="24"/>
        </w:rPr>
        <w:t>:</w:t>
      </w:r>
      <w:r w:rsidRPr="00AD52C5">
        <w:rPr>
          <w:rStyle w:val="None"/>
          <w:sz w:val="24"/>
          <w:szCs w:val="24"/>
        </w:rPr>
        <w:t xml:space="preserve"> i</w:t>
      </w:r>
      <w:r w:rsidRPr="00AD52C5">
        <w:rPr>
          <w:rStyle w:val="None"/>
          <w:sz w:val="24"/>
          <w:szCs w:val="24"/>
        </w:rPr>
        <w:t>n</w:t>
      </w:r>
      <w:r w:rsidRPr="00AD52C5">
        <w:rPr>
          <w:rStyle w:val="None"/>
          <w:sz w:val="24"/>
          <w:szCs w:val="24"/>
        </w:rPr>
        <w:t>ternational normalized ratio</w:t>
      </w:r>
      <w:r w:rsidRPr="00AD52C5">
        <w:rPr>
          <w:rStyle w:val="None"/>
          <w:rFonts w:eastAsia="宋体"/>
          <w:sz w:val="24"/>
          <w:szCs w:val="24"/>
        </w:rPr>
        <w:t>; IV: intravenous; UTI: urinary tract infection; FFP:</w:t>
      </w:r>
      <w:r w:rsidRPr="00AD52C5">
        <w:rPr>
          <w:rStyle w:val="None"/>
          <w:sz w:val="24"/>
          <w:szCs w:val="24"/>
        </w:rPr>
        <w:t xml:space="preserve"> fresh frozen plasma</w:t>
      </w:r>
      <w:r w:rsidRPr="00AD52C5">
        <w:rPr>
          <w:rStyle w:val="None"/>
          <w:rFonts w:eastAsia="宋体"/>
          <w:sz w:val="24"/>
          <w:szCs w:val="24"/>
        </w:rPr>
        <w:t>; P</w:t>
      </w:r>
      <w:r w:rsidRPr="00AD52C5">
        <w:rPr>
          <w:rFonts w:eastAsia="宋体"/>
          <w:sz w:val="24"/>
          <w:szCs w:val="24"/>
        </w:rPr>
        <w:t>RBC packed red blood cell; BID: twice a day; PICA: posterior intercostal artery; KUB: kidney ureter bladder; WNL: within normal limits.</w:t>
      </w:r>
    </w:p>
    <w:p w:rsidR="00456B5C" w:rsidRDefault="00456B5C" w:rsidP="00C51984">
      <w:pPr>
        <w:rPr>
          <w:rFonts w:eastAsia="宋体"/>
          <w:sz w:val="24"/>
          <w:szCs w:val="24"/>
        </w:rPr>
      </w:pPr>
    </w:p>
    <w:p w:rsidR="00FB2FF2" w:rsidRPr="00566B50" w:rsidRDefault="007D72B9" w:rsidP="009B3993">
      <w:pPr>
        <w:pStyle w:val="Reference"/>
        <w:rPr>
          <w:rStyle w:val="None"/>
        </w:rPr>
      </w:pPr>
      <w:r>
        <w:rPr>
          <w:rStyle w:val="None"/>
        </w:rPr>
        <w:t>w</w:t>
      </w:r>
      <w:r w:rsidR="009B3993">
        <w:rPr>
          <w:rStyle w:val="None"/>
        </w:rPr>
        <w:t xml:space="preserve">1. </w:t>
      </w:r>
      <w:r w:rsidR="007E2997" w:rsidRPr="00566B50">
        <w:rPr>
          <w:rStyle w:val="None"/>
        </w:rPr>
        <w:t>Gunja N, Coggins A, Bidny S. Management of intentional superwarfarin poisoning with long-term vitamin K and brodifacoum levels. Clin Toxicol (Phila). 2011;49(5):385-390.</w:t>
      </w:r>
      <w:r w:rsidR="007E2997" w:rsidRPr="00566B50">
        <w:rPr>
          <w:rStyle w:val="None"/>
        </w:rPr>
        <w:br/>
        <w:t>doi:10.3109/15563650.2011.587126</w:t>
      </w:r>
      <w:r w:rsidR="007E2997" w:rsidRPr="00566B50">
        <w:rPr>
          <w:rStyle w:val="None"/>
        </w:rPr>
        <w:br/>
      </w:r>
      <w:r w:rsidR="005F094D">
        <w:rPr>
          <w:rStyle w:val="None"/>
        </w:rPr>
        <w:t>PMID:</w:t>
      </w:r>
      <w:r w:rsidR="007E2997" w:rsidRPr="00566B50">
        <w:rPr>
          <w:rStyle w:val="None"/>
        </w:rPr>
        <w:t>21740137</w:t>
      </w:r>
    </w:p>
    <w:p w:rsidR="008F0F11" w:rsidRDefault="008F0F11"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2. </w:t>
      </w:r>
      <w:r w:rsidR="00AD6270" w:rsidRPr="00566B50">
        <w:rPr>
          <w:rStyle w:val="None"/>
        </w:rPr>
        <w:t>Binks S, Davies P. Case of the month: "Oh! Drat!--A case of transcutaneous superwarfa-rin poisoning and its recurrent presentation". Emerg Med J. 2007;24(4):307-308.</w:t>
      </w:r>
      <w:r w:rsidR="00AD6270" w:rsidRPr="00566B50">
        <w:rPr>
          <w:rStyle w:val="None"/>
        </w:rPr>
        <w:br/>
      </w:r>
      <w:r w:rsidR="00AD6270" w:rsidRPr="00566B50">
        <w:rPr>
          <w:rStyle w:val="None"/>
        </w:rPr>
        <w:lastRenderedPageBreak/>
        <w:t>doi:10.1136/emj.2006.044925</w:t>
      </w:r>
      <w:r w:rsidR="00AD6270" w:rsidRPr="00566B50">
        <w:rPr>
          <w:rStyle w:val="None"/>
        </w:rPr>
        <w:br/>
      </w:r>
      <w:r w:rsidR="005F094D">
        <w:rPr>
          <w:rStyle w:val="None"/>
        </w:rPr>
        <w:t>PMID:</w:t>
      </w:r>
      <w:r w:rsidR="00AD6270" w:rsidRPr="00566B50">
        <w:rPr>
          <w:rStyle w:val="None"/>
        </w:rPr>
        <w:t>17384395 PMCid:PMC2658248</w:t>
      </w:r>
    </w:p>
    <w:p w:rsidR="00EA1981" w:rsidRDefault="00EA1981" w:rsidP="009B3993">
      <w:pPr>
        <w:pStyle w:val="Reference"/>
        <w:rPr>
          <w:rStyle w:val="None"/>
        </w:rPr>
      </w:pPr>
    </w:p>
    <w:p w:rsidR="00EA1981" w:rsidRPr="00566B50" w:rsidRDefault="007D72B9" w:rsidP="009B3993">
      <w:pPr>
        <w:pStyle w:val="Reference"/>
        <w:rPr>
          <w:rStyle w:val="None"/>
        </w:rPr>
      </w:pPr>
      <w:r>
        <w:rPr>
          <w:rStyle w:val="None"/>
        </w:rPr>
        <w:t>w</w:t>
      </w:r>
      <w:r w:rsidR="009B3993">
        <w:rPr>
          <w:rStyle w:val="None"/>
        </w:rPr>
        <w:t xml:space="preserve">3. </w:t>
      </w:r>
      <w:r w:rsidR="00EA1981" w:rsidRPr="00566B50">
        <w:rPr>
          <w:rStyle w:val="None"/>
        </w:rPr>
        <w:t>Olmos V, Lopez CM. Brodifacoum poisoning with toxicokinetic data. Clin Toxicol (Phi-la). 2007;45(5):487-489.</w:t>
      </w:r>
      <w:r w:rsidR="00EA1981" w:rsidRPr="00566B50">
        <w:rPr>
          <w:rStyle w:val="None"/>
        </w:rPr>
        <w:br/>
        <w:t>doi:10.1080/15563650701354093</w:t>
      </w:r>
      <w:r w:rsidR="00EA1981" w:rsidRPr="00566B50">
        <w:rPr>
          <w:rStyle w:val="None"/>
        </w:rPr>
        <w:br/>
      </w:r>
      <w:r w:rsidR="005F094D">
        <w:rPr>
          <w:rStyle w:val="None"/>
        </w:rPr>
        <w:t>PMID:</w:t>
      </w:r>
      <w:r w:rsidR="00EA1981" w:rsidRPr="00566B50">
        <w:rPr>
          <w:rStyle w:val="None"/>
        </w:rPr>
        <w:t>17503253</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4. </w:t>
      </w:r>
      <w:r w:rsidR="00AD6270" w:rsidRPr="00566B50">
        <w:rPr>
          <w:rStyle w:val="None"/>
        </w:rPr>
        <w:t>Spahr JE, Maul JS, Rodgers GM. Superwarfarin poisoning: a report of two cases and re-view of the literature. Am J Hematol. 2007;82(7):656-660.</w:t>
      </w:r>
      <w:r w:rsidR="00AD6270" w:rsidRPr="00566B50">
        <w:rPr>
          <w:rStyle w:val="None"/>
        </w:rPr>
        <w:br/>
        <w:t>doi:10.1002/ajh.20784</w:t>
      </w:r>
      <w:r w:rsidR="00AD6270" w:rsidRPr="00566B50">
        <w:rPr>
          <w:rStyle w:val="None"/>
        </w:rPr>
        <w:br/>
      </w:r>
      <w:r w:rsidR="005F094D">
        <w:rPr>
          <w:rStyle w:val="None"/>
        </w:rPr>
        <w:t>PMID:</w:t>
      </w:r>
      <w:r w:rsidR="00AD6270" w:rsidRPr="00566B50">
        <w:rPr>
          <w:rStyle w:val="None"/>
        </w:rPr>
        <w:t>17022046</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5. </w:t>
      </w:r>
      <w:r w:rsidR="00AD6270" w:rsidRPr="00566B50">
        <w:rPr>
          <w:rStyle w:val="None"/>
        </w:rPr>
        <w:t>Travis SF, Warfield W, Greenbaum BH, Molokisher M, Siegel JE. Spontaneous h</w:t>
      </w:r>
      <w:r w:rsidR="00AD6270" w:rsidRPr="00566B50">
        <w:rPr>
          <w:rStyle w:val="None"/>
        </w:rPr>
        <w:t>e</w:t>
      </w:r>
      <w:r w:rsidR="00AD6270" w:rsidRPr="00566B50">
        <w:rPr>
          <w:rStyle w:val="None"/>
        </w:rPr>
        <w:t>mor-rhage associated with accidental brodifacoum poisoning in a child. J Pediatr. 1993;122(6):982-984.</w:t>
      </w:r>
      <w:r w:rsidR="00AD6270" w:rsidRPr="00566B50">
        <w:rPr>
          <w:rStyle w:val="None"/>
        </w:rPr>
        <w:br/>
        <w:t>doi:10.1016/S0022-3476(09)90032-4</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6. </w:t>
      </w:r>
      <w:r w:rsidR="00AD6270" w:rsidRPr="00566B50">
        <w:rPr>
          <w:rStyle w:val="None"/>
        </w:rPr>
        <w:t>Card DJ, Francis S, Deuchande K, Harrington DJ. Superwarfarin poisoning and its man-agement. BMJ Case Rep. 2014;2014.</w:t>
      </w:r>
      <w:r w:rsidR="00AD6270" w:rsidRPr="00566B50">
        <w:rPr>
          <w:rStyle w:val="None"/>
        </w:rPr>
        <w:br/>
        <w:t>doi:10.1136/bcr-2014-206360</w:t>
      </w:r>
      <w:r w:rsidR="00AD6270" w:rsidRPr="00566B50">
        <w:rPr>
          <w:rStyle w:val="None"/>
        </w:rPr>
        <w:br/>
      </w:r>
      <w:r w:rsidR="005F094D">
        <w:rPr>
          <w:rStyle w:val="None"/>
        </w:rPr>
        <w:t>PMID:</w:t>
      </w:r>
      <w:r w:rsidR="00AD6270" w:rsidRPr="00566B50">
        <w:rPr>
          <w:rStyle w:val="None"/>
        </w:rPr>
        <w:t>25312896 PMCid:PMC4195219</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7. </w:t>
      </w:r>
      <w:r w:rsidR="00AD6270" w:rsidRPr="00566B50">
        <w:rPr>
          <w:rStyle w:val="None"/>
        </w:rPr>
        <w:t>Yan J, Shi Y, Sun C, Yang H. Vitamin K treatment of brodifacoum poisoning in a preg-nant woman. Int J Gynaecol Obstet. 2013;122(2):162-163.</w:t>
      </w:r>
      <w:r w:rsidR="00AD6270" w:rsidRPr="00566B50">
        <w:rPr>
          <w:rStyle w:val="None"/>
        </w:rPr>
        <w:br/>
        <w:t>doi:10.1016/j.ijgo.2013.03.008</w:t>
      </w:r>
      <w:r w:rsidR="00AD6270" w:rsidRPr="00566B50">
        <w:rPr>
          <w:rStyle w:val="None"/>
        </w:rPr>
        <w:br/>
      </w:r>
      <w:r w:rsidR="005F094D">
        <w:rPr>
          <w:rStyle w:val="None"/>
        </w:rPr>
        <w:t>PMID:</w:t>
      </w:r>
      <w:r w:rsidR="00AD6270" w:rsidRPr="00566B50">
        <w:rPr>
          <w:rStyle w:val="None"/>
        </w:rPr>
        <w:t>23642676</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8. </w:t>
      </w:r>
      <w:r w:rsidR="00AD6270" w:rsidRPr="00566B50">
        <w:rPr>
          <w:rStyle w:val="None"/>
        </w:rPr>
        <w:t>Rutovic S, Dikanovic M, Mirkovic I, Lojen G, Marcikic M. Intracerebellar hemorrhage caused by superwarfarin poisoning. Neurol Sci. 2013;34(11):2071-2072.</w:t>
      </w:r>
      <w:r w:rsidR="00AD6270" w:rsidRPr="00566B50">
        <w:rPr>
          <w:rStyle w:val="None"/>
        </w:rPr>
        <w:br/>
        <w:t>doi:10.1007/s10072-013-1445-2</w:t>
      </w:r>
      <w:r w:rsidR="00AD6270" w:rsidRPr="00566B50">
        <w:rPr>
          <w:rStyle w:val="None"/>
        </w:rPr>
        <w:br/>
      </w:r>
      <w:r w:rsidR="005F094D">
        <w:rPr>
          <w:rStyle w:val="None"/>
        </w:rPr>
        <w:t>PMID:</w:t>
      </w:r>
      <w:r w:rsidR="00AD6270" w:rsidRPr="00566B50">
        <w:rPr>
          <w:rStyle w:val="None"/>
        </w:rPr>
        <w:t>23595548</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lastRenderedPageBreak/>
        <w:t>w</w:t>
      </w:r>
      <w:r w:rsidR="009B3993">
        <w:rPr>
          <w:rStyle w:val="None"/>
        </w:rPr>
        <w:t xml:space="preserve">9. </w:t>
      </w:r>
      <w:r w:rsidR="00AD6270" w:rsidRPr="00566B50">
        <w:rPr>
          <w:rStyle w:val="None"/>
        </w:rPr>
        <w:t>Booth GS, Mody PZ. Brodifacoum inhalation and its clinical manifestations in a 21-year-old caucasian man. Lab Med. 2016;47(1):63-66.</w:t>
      </w:r>
      <w:r w:rsidR="00AD6270" w:rsidRPr="00566B50">
        <w:rPr>
          <w:rStyle w:val="None"/>
        </w:rPr>
        <w:br/>
        <w:t>doi:10.1093/labmed/lmv008</w:t>
      </w:r>
      <w:r w:rsidR="00AD6270" w:rsidRPr="00566B50">
        <w:rPr>
          <w:rStyle w:val="None"/>
        </w:rPr>
        <w:br/>
      </w:r>
      <w:r w:rsidR="005F094D">
        <w:rPr>
          <w:rStyle w:val="None"/>
        </w:rPr>
        <w:t>PMID:</w:t>
      </w:r>
      <w:r w:rsidR="00AD6270" w:rsidRPr="00566B50">
        <w:rPr>
          <w:rStyle w:val="None"/>
        </w:rPr>
        <w:t>26715613</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10. </w:t>
      </w:r>
      <w:r w:rsidR="00AD6270" w:rsidRPr="00566B50">
        <w:rPr>
          <w:rStyle w:val="None"/>
        </w:rPr>
        <w:t>Reimer D, Smith M, Ali S. Deliberate self-poisoning with long-acting anticoagulant ro-denticides. BMJ Case Rep. 2017;2017.</w:t>
      </w:r>
      <w:r w:rsidR="00AD6270" w:rsidRPr="00566B50">
        <w:rPr>
          <w:rStyle w:val="None"/>
        </w:rPr>
        <w:br/>
        <w:t>doi:10.1136/bcr-2017-222170</w:t>
      </w:r>
      <w:r w:rsidR="00AD6270" w:rsidRPr="00566B50">
        <w:rPr>
          <w:rStyle w:val="None"/>
        </w:rPr>
        <w:br/>
      </w:r>
      <w:r w:rsidR="005F094D">
        <w:rPr>
          <w:rStyle w:val="None"/>
        </w:rPr>
        <w:t>PMID:</w:t>
      </w:r>
      <w:r w:rsidR="00AD6270" w:rsidRPr="00566B50">
        <w:rPr>
          <w:rStyle w:val="None"/>
        </w:rPr>
        <w:t>29269364</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11. </w:t>
      </w:r>
      <w:r w:rsidR="00AD6270" w:rsidRPr="00566B50">
        <w:rPr>
          <w:rStyle w:val="None"/>
        </w:rPr>
        <w:t>Hollinger BR, Pastoor TP. Case management and plasma half-life in a case of brodi-facoum poisoning. Arch Intern Med. 1993;153(16):1925-1928.</w:t>
      </w:r>
      <w:r w:rsidR="00AD6270" w:rsidRPr="00566B50">
        <w:rPr>
          <w:rStyle w:val="None"/>
        </w:rPr>
        <w:br/>
        <w:t>doi:10.1001/archinte.1993.00410160099010</w:t>
      </w:r>
    </w:p>
    <w:p w:rsidR="00AD6270" w:rsidRPr="00566B50" w:rsidRDefault="00AD6270" w:rsidP="009B3993">
      <w:pPr>
        <w:pStyle w:val="Reference"/>
        <w:rPr>
          <w:rStyle w:val="None"/>
        </w:rPr>
      </w:pPr>
    </w:p>
    <w:p w:rsidR="00AD6270" w:rsidRPr="00566B50" w:rsidRDefault="007D72B9" w:rsidP="009B3993">
      <w:pPr>
        <w:pStyle w:val="Reference"/>
        <w:rPr>
          <w:rStyle w:val="None"/>
        </w:rPr>
      </w:pPr>
      <w:r>
        <w:rPr>
          <w:rStyle w:val="None"/>
        </w:rPr>
        <w:t>w</w:t>
      </w:r>
      <w:r w:rsidR="009B3993">
        <w:rPr>
          <w:rStyle w:val="None"/>
        </w:rPr>
        <w:t xml:space="preserve">12. </w:t>
      </w:r>
      <w:r w:rsidR="00AD6270" w:rsidRPr="00566B50">
        <w:rPr>
          <w:rStyle w:val="None"/>
        </w:rPr>
        <w:t>Butcher GP, Shearer MJ, MacNicoll AD, Kelly MJ, Ind PW. Difenacoum poisoning as a cause of haematuria. Hum Exp Toxicol. 1992;11(6):553-554.</w:t>
      </w:r>
      <w:r w:rsidR="00AD6270" w:rsidRPr="00566B50">
        <w:rPr>
          <w:rStyle w:val="None"/>
        </w:rPr>
        <w:br/>
        <w:t>doi:10.1177/096032719201100620</w:t>
      </w:r>
      <w:r w:rsidR="00AD6270" w:rsidRPr="00566B50">
        <w:rPr>
          <w:rStyle w:val="None"/>
        </w:rPr>
        <w:br/>
      </w:r>
      <w:r w:rsidR="005F094D">
        <w:rPr>
          <w:rStyle w:val="None"/>
        </w:rPr>
        <w:t>PMID:</w:t>
      </w:r>
      <w:r w:rsidR="00AD6270" w:rsidRPr="00566B50">
        <w:rPr>
          <w:rStyle w:val="None"/>
        </w:rPr>
        <w:t>1361149</w:t>
      </w:r>
    </w:p>
    <w:sectPr w:rsidR="00AD6270" w:rsidRPr="00566B50" w:rsidSect="004B6FAF">
      <w:pgSz w:w="15840" w:h="12240"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defaultTabStop w:val="720"/>
  <w:drawingGridHorizontalSpacing w:val="110"/>
  <w:displayHorizontalDrawingGridEvery w:val="2"/>
  <w:characterSpacingControl w:val="doNotCompress"/>
  <w:compat>
    <w:useFELayout/>
  </w:compat>
  <w:rsids>
    <w:rsidRoot w:val="00964748"/>
    <w:rsid w:val="00122D14"/>
    <w:rsid w:val="0014553C"/>
    <w:rsid w:val="001C1A4C"/>
    <w:rsid w:val="00345006"/>
    <w:rsid w:val="003625AF"/>
    <w:rsid w:val="003907EF"/>
    <w:rsid w:val="004044E4"/>
    <w:rsid w:val="00456B5C"/>
    <w:rsid w:val="004A2026"/>
    <w:rsid w:val="004B6FAF"/>
    <w:rsid w:val="00523DEC"/>
    <w:rsid w:val="0059687B"/>
    <w:rsid w:val="005C2953"/>
    <w:rsid w:val="005F094D"/>
    <w:rsid w:val="006B6133"/>
    <w:rsid w:val="006C0203"/>
    <w:rsid w:val="006F15F5"/>
    <w:rsid w:val="00763566"/>
    <w:rsid w:val="007807A4"/>
    <w:rsid w:val="007D72B9"/>
    <w:rsid w:val="007E2997"/>
    <w:rsid w:val="008C0F0A"/>
    <w:rsid w:val="008F0F11"/>
    <w:rsid w:val="00945710"/>
    <w:rsid w:val="00964748"/>
    <w:rsid w:val="00987568"/>
    <w:rsid w:val="009B3993"/>
    <w:rsid w:val="00A2416F"/>
    <w:rsid w:val="00AD52C5"/>
    <w:rsid w:val="00AD6270"/>
    <w:rsid w:val="00AF05E9"/>
    <w:rsid w:val="00B5189E"/>
    <w:rsid w:val="00BD06A8"/>
    <w:rsid w:val="00BE7505"/>
    <w:rsid w:val="00C051EF"/>
    <w:rsid w:val="00C51984"/>
    <w:rsid w:val="00C65EE3"/>
    <w:rsid w:val="00D632E0"/>
    <w:rsid w:val="00E55DF9"/>
    <w:rsid w:val="00EA1981"/>
    <w:rsid w:val="00F662D8"/>
    <w:rsid w:val="00FB2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964748"/>
  </w:style>
  <w:style w:type="paragraph" w:customStyle="1" w:styleId="Para">
    <w:name w:val="Para"/>
    <w:basedOn w:val="Normal"/>
    <w:rsid w:val="00964748"/>
    <w:pPr>
      <w:spacing w:after="0" w:line="240" w:lineRule="auto"/>
      <w:ind w:firstLine="567"/>
    </w:pPr>
    <w:rPr>
      <w:rFonts w:ascii="Times New Roman" w:eastAsia="Arial Unicode MS" w:hAnsi="Times New Roman" w:cs="Times New Roman"/>
      <w:sz w:val="24"/>
      <w:szCs w:val="24"/>
      <w:lang w:eastAsia="en-US"/>
    </w:rPr>
  </w:style>
  <w:style w:type="paragraph" w:customStyle="1" w:styleId="Table">
    <w:name w:val="Table"/>
    <w:basedOn w:val="Normal"/>
    <w:rsid w:val="00964748"/>
    <w:pPr>
      <w:spacing w:after="0" w:line="240" w:lineRule="auto"/>
    </w:pPr>
    <w:rPr>
      <w:rFonts w:ascii="Times New Roman" w:eastAsia="Arial Unicode MS" w:hAnsi="Times New Roman" w:cs="Times New Roman"/>
      <w:sz w:val="24"/>
      <w:szCs w:val="24"/>
      <w:lang w:eastAsia="en-US"/>
    </w:rPr>
  </w:style>
  <w:style w:type="paragraph" w:customStyle="1" w:styleId="Reference">
    <w:name w:val="Reference"/>
    <w:rsid w:val="00AD6270"/>
    <w:pPr>
      <w:spacing w:after="0" w:line="240" w:lineRule="auto"/>
      <w:ind w:left="357" w:hanging="357"/>
    </w:pPr>
    <w:rPr>
      <w:rFonts w:ascii="Times New Roman" w:eastAsia="宋体" w:hAnsi="Times New Roman" w:cs="Times New Roman"/>
      <w:sz w:val="24"/>
      <w:szCs w:val="24"/>
      <w:lang w:val="en-GB" w:eastAsia="en-US"/>
    </w:rPr>
  </w:style>
  <w:style w:type="paragraph" w:styleId="BalloonText">
    <w:name w:val="Balloon Text"/>
    <w:basedOn w:val="Normal"/>
    <w:link w:val="BalloonTextChar"/>
    <w:uiPriority w:val="99"/>
    <w:semiHidden/>
    <w:unhideWhenUsed/>
    <w:rsid w:val="00404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2019-11-17T16:09:00Z</dcterms:created>
  <dcterms:modified xsi:type="dcterms:W3CDTF">2019-11-17T16:24:00Z</dcterms:modified>
</cp:coreProperties>
</file>