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9A" w:rsidRPr="00B30651" w:rsidRDefault="004C152C" w:rsidP="00565F9E">
      <w:r w:rsidRPr="00844E6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Supplementary </w:t>
      </w:r>
      <w:r w:rsidR="00337456">
        <w:rPr>
          <w:rFonts w:asciiTheme="majorBidi" w:hAnsiTheme="majorBidi" w:cstheme="majorBidi"/>
          <w:b/>
          <w:bCs/>
          <w:sz w:val="28"/>
          <w:szCs w:val="28"/>
          <w:lang w:bidi="ar-EG"/>
        </w:rPr>
        <w:t>Material</w:t>
      </w:r>
    </w:p>
    <w:p w:rsidR="00D84A9A" w:rsidRPr="00B30651" w:rsidRDefault="00D84A9A" w:rsidP="00D84A9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:rsidR="004F396C" w:rsidRPr="00EF1C9C" w:rsidRDefault="00910615" w:rsidP="00070216">
      <w:pPr>
        <w:spacing w:after="200" w:line="276" w:lineRule="auto"/>
        <w:rPr>
          <w:rFonts w:asciiTheme="majorBidi" w:eastAsia="Calibri" w:hAnsiTheme="majorBidi" w:cstheme="majorBidi"/>
          <w:b/>
          <w:bCs/>
          <w:lang w:bidi="ar-EG"/>
        </w:rPr>
      </w:pPr>
      <w:bookmarkStart w:id="0" w:name="_Hlk44202139"/>
      <w:r>
        <w:rPr>
          <w:rFonts w:asciiTheme="majorBidi" w:eastAsia="Calibri" w:hAnsiTheme="majorBidi" w:cstheme="majorBidi"/>
          <w:b/>
          <w:bCs/>
          <w:lang w:bidi="ar-EG"/>
        </w:rPr>
        <w:t>Supplementary</w:t>
      </w:r>
      <w:r w:rsidR="00070216">
        <w:rPr>
          <w:rFonts w:asciiTheme="majorBidi" w:eastAsia="Calibri" w:hAnsiTheme="majorBidi" w:cstheme="majorBidi"/>
          <w:b/>
          <w:bCs/>
          <w:lang w:bidi="ar-EG"/>
        </w:rPr>
        <w:t xml:space="preserve"> </w:t>
      </w:r>
      <w:r w:rsidR="00337456">
        <w:rPr>
          <w:rFonts w:asciiTheme="majorBidi" w:eastAsia="Calibri" w:hAnsiTheme="majorBidi" w:cstheme="majorBidi"/>
          <w:b/>
          <w:bCs/>
          <w:lang w:bidi="ar-EG"/>
        </w:rPr>
        <w:t>T</w:t>
      </w:r>
      <w:r w:rsidR="004F396C" w:rsidRPr="00EF1C9C">
        <w:rPr>
          <w:rFonts w:asciiTheme="majorBidi" w:eastAsia="Calibri" w:hAnsiTheme="majorBidi" w:cstheme="majorBidi"/>
          <w:b/>
          <w:bCs/>
          <w:lang w:bidi="ar-EG"/>
        </w:rPr>
        <w:t xml:space="preserve">able </w:t>
      </w:r>
      <w:r>
        <w:rPr>
          <w:rFonts w:asciiTheme="majorBidi" w:eastAsia="Calibri" w:hAnsiTheme="majorBidi" w:cstheme="majorBidi"/>
          <w:b/>
          <w:bCs/>
          <w:lang w:bidi="ar-EG"/>
        </w:rPr>
        <w:t>1</w:t>
      </w:r>
      <w:r w:rsidR="004F396C" w:rsidRPr="00EF1C9C">
        <w:rPr>
          <w:rFonts w:asciiTheme="majorBidi" w:eastAsia="Calibri" w:hAnsiTheme="majorBidi" w:cstheme="majorBidi"/>
          <w:b/>
          <w:bCs/>
          <w:lang w:bidi="ar-EG"/>
        </w:rPr>
        <w:t xml:space="preserve">. </w:t>
      </w:r>
      <w:r w:rsidR="004F396C" w:rsidRPr="00337456">
        <w:rPr>
          <w:rFonts w:asciiTheme="majorBidi" w:eastAsia="Calibri" w:hAnsiTheme="majorBidi" w:cstheme="majorBidi"/>
          <w:lang w:bidi="ar-EG"/>
        </w:rPr>
        <w:t>Receiver operating characteristic curve analysis results and predictive values of</w:t>
      </w:r>
      <w:r w:rsidR="00070216" w:rsidRPr="00337456">
        <w:rPr>
          <w:rFonts w:asciiTheme="majorBidi" w:eastAsia="Calibri" w:hAnsiTheme="majorBidi" w:cstheme="majorBidi"/>
          <w:lang w:bidi="ar-EG"/>
        </w:rPr>
        <w:t xml:space="preserve"> the</w:t>
      </w:r>
      <w:r w:rsidR="004F396C" w:rsidRPr="00337456">
        <w:rPr>
          <w:rFonts w:asciiTheme="majorBidi" w:eastAsia="Calibri" w:hAnsiTheme="majorBidi" w:cstheme="majorBidi"/>
          <w:lang w:bidi="ar-EG"/>
        </w:rPr>
        <w:t xml:space="preserve"> evaluated indices for the differential diagnosis of </w:t>
      </w:r>
      <w:r w:rsidR="00070216" w:rsidRPr="00337456">
        <w:rPr>
          <w:rFonts w:asciiTheme="majorBidi" w:eastAsia="Calibri" w:hAnsiTheme="majorBidi" w:cstheme="majorBidi"/>
          <w:lang w:bidi="ar-EG"/>
        </w:rPr>
        <w:t>S-hemoglobin variant cases</w:t>
      </w:r>
      <w:r w:rsidR="005D780B" w:rsidRPr="00337456">
        <w:rPr>
          <w:rFonts w:asciiTheme="majorBidi" w:eastAsia="Calibri" w:hAnsiTheme="majorBidi" w:cstheme="majorBidi"/>
          <w:lang w:bidi="ar-EG"/>
        </w:rPr>
        <w:t xml:space="preserve"> (sickle cell disorder)</w:t>
      </w:r>
      <w:r w:rsidR="004F396C" w:rsidRPr="00337456">
        <w:rPr>
          <w:rFonts w:asciiTheme="majorBidi" w:eastAsia="Calibri" w:hAnsiTheme="majorBidi" w:cstheme="majorBidi"/>
          <w:lang w:bidi="ar-EG"/>
        </w:rPr>
        <w:t xml:space="preserve"> and</w:t>
      </w:r>
      <w:r w:rsidR="00070216" w:rsidRPr="00337456">
        <w:rPr>
          <w:rFonts w:asciiTheme="majorBidi" w:eastAsia="Calibri" w:hAnsiTheme="majorBidi" w:cstheme="majorBidi"/>
          <w:lang w:bidi="ar-EG"/>
        </w:rPr>
        <w:t xml:space="preserve"> the</w:t>
      </w:r>
      <w:r w:rsidR="005D780B" w:rsidRPr="00337456">
        <w:rPr>
          <w:rFonts w:asciiTheme="majorBidi" w:eastAsia="Calibri" w:hAnsiTheme="majorBidi" w:cstheme="majorBidi"/>
          <w:lang w:bidi="ar-EG"/>
        </w:rPr>
        <w:t xml:space="preserve"> </w:t>
      </w:r>
      <w:r w:rsidR="004F396C" w:rsidRPr="00337456">
        <w:rPr>
          <w:rFonts w:asciiTheme="majorBidi" w:eastAsia="Calibri" w:hAnsiTheme="majorBidi" w:cstheme="majorBidi"/>
          <w:lang w:bidi="ar-EG"/>
        </w:rPr>
        <w:t>control</w:t>
      </w:r>
      <w:r w:rsidR="00070216" w:rsidRPr="00337456">
        <w:rPr>
          <w:rFonts w:asciiTheme="majorBidi" w:eastAsia="Calibri" w:hAnsiTheme="majorBidi" w:cstheme="majorBidi"/>
          <w:lang w:bidi="ar-EG"/>
        </w:rPr>
        <w:t xml:space="preserve"> group</w:t>
      </w:r>
    </w:p>
    <w:tbl>
      <w:tblPr>
        <w:tblStyle w:val="TableGrid1"/>
        <w:tblW w:w="5000" w:type="pct"/>
        <w:jc w:val="center"/>
        <w:tblLook w:val="04A0"/>
      </w:tblPr>
      <w:tblGrid>
        <w:gridCol w:w="1176"/>
        <w:gridCol w:w="1216"/>
        <w:gridCol w:w="1044"/>
        <w:gridCol w:w="935"/>
        <w:gridCol w:w="990"/>
        <w:gridCol w:w="887"/>
        <w:gridCol w:w="908"/>
        <w:gridCol w:w="1080"/>
        <w:gridCol w:w="580"/>
        <w:gridCol w:w="760"/>
      </w:tblGrid>
      <w:tr w:rsidR="004F396C" w:rsidRPr="00843F59" w:rsidTr="00337456">
        <w:trPr>
          <w:trHeight w:val="719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Variable</w:t>
            </w:r>
          </w:p>
        </w:tc>
        <w:tc>
          <w:tcPr>
            <w:tcW w:w="635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AUC (95%)</w:t>
            </w:r>
          </w:p>
        </w:tc>
        <w:tc>
          <w:tcPr>
            <w:tcW w:w="545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Cut-off</w:t>
            </w:r>
          </w:p>
        </w:tc>
        <w:tc>
          <w:tcPr>
            <w:tcW w:w="488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Sens.(%)</w:t>
            </w:r>
          </w:p>
        </w:tc>
        <w:tc>
          <w:tcPr>
            <w:tcW w:w="51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Spec..(%)</w:t>
            </w:r>
          </w:p>
        </w:tc>
        <w:tc>
          <w:tcPr>
            <w:tcW w:w="463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PPV(%)</w:t>
            </w:r>
          </w:p>
        </w:tc>
        <w:tc>
          <w:tcPr>
            <w:tcW w:w="474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NPV(%)</w:t>
            </w:r>
          </w:p>
        </w:tc>
        <w:tc>
          <w:tcPr>
            <w:tcW w:w="564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bookmarkStart w:id="1" w:name="_Hlk44737085"/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% correctly</w:t>
            </w:r>
          </w:p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identified</w:t>
            </w:r>
          </w:p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patients</w:t>
            </w:r>
            <w:bookmarkEnd w:id="1"/>
          </w:p>
        </w:tc>
        <w:tc>
          <w:tcPr>
            <w:tcW w:w="303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YI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P</w:t>
            </w:r>
          </w:p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Value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RDW (%)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0.79(0.71-0.89)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&gt;14%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80%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76%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0.51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4F396C" w:rsidRPr="00EF1C9C" w:rsidTr="00337456">
        <w:trPr>
          <w:trHeight w:val="349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RDW index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0.71(0.61-0.81)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&gt;241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60%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82%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75%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0.42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Mentzer index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0.61(0.49-0.72)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&gt;18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46%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78%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66%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61%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62%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0.24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0.046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GK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0.62(0.50-0.73)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  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&gt;69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60%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56%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56%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61%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0.16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0.026 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EF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0.60(0.48-0.71)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&gt;9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49%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60%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53%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56%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55%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0.09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0.076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SL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0.81(0.73-0.89)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&lt;1700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62%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90%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85%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72%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0.52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SI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0.62(0.50-0.73)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  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&gt;5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75%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72%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73%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72%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0.44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0.023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RI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0.85(0.78-0.93)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&gt;2.8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86%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76%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79%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0.57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EI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0.51(0.40-0.63)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&gt;20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85%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22%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50%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61%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52%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0.07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0.779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Sir I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0.50(0.38-0.62)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&gt;35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56%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37%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45%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48%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46%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-0.07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0.998</w:t>
            </w:r>
          </w:p>
        </w:tc>
      </w:tr>
      <w:tr w:rsidR="004F396C" w:rsidRPr="00EF1C9C" w:rsidTr="00337456">
        <w:trPr>
          <w:trHeight w:val="368"/>
          <w:jc w:val="center"/>
        </w:trPr>
        <w:tc>
          <w:tcPr>
            <w:tcW w:w="614" w:type="pct"/>
            <w:vAlign w:val="center"/>
          </w:tcPr>
          <w:p w:rsidR="004F396C" w:rsidRPr="00843F59" w:rsidRDefault="004F396C" w:rsidP="009F6F3B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HH</w:t>
            </w:r>
          </w:p>
        </w:tc>
        <w:tc>
          <w:tcPr>
            <w:tcW w:w="635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0.80(0.71-0.89)</w:t>
            </w:r>
          </w:p>
        </w:tc>
        <w:tc>
          <w:tcPr>
            <w:tcW w:w="545" w:type="pct"/>
            <w:vAlign w:val="center"/>
          </w:tcPr>
          <w:p w:rsidR="004F396C" w:rsidRPr="00EF1C9C" w:rsidRDefault="004F396C" w:rsidP="009F6F3B">
            <w:pP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</w:t>
            </w:r>
            <w:r w:rsidRPr="00EF1C9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SC</w:t>
            </w: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&gt;21.5</w:t>
            </w:r>
          </w:p>
        </w:tc>
        <w:tc>
          <w:tcPr>
            <w:tcW w:w="488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517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83%</w:t>
            </w:r>
          </w:p>
        </w:tc>
        <w:tc>
          <w:tcPr>
            <w:tcW w:w="46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80%</w:t>
            </w:r>
          </w:p>
        </w:tc>
        <w:tc>
          <w:tcPr>
            <w:tcW w:w="47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76%</w:t>
            </w:r>
          </w:p>
        </w:tc>
        <w:tc>
          <w:tcPr>
            <w:tcW w:w="564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303" w:type="pct"/>
            <w:vAlign w:val="center"/>
          </w:tcPr>
          <w:p w:rsidR="004F396C" w:rsidRPr="00EF1C9C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EF1C9C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0.54</w:t>
            </w:r>
          </w:p>
        </w:tc>
        <w:tc>
          <w:tcPr>
            <w:tcW w:w="397" w:type="pct"/>
            <w:vAlign w:val="center"/>
          </w:tcPr>
          <w:p w:rsidR="004F396C" w:rsidRPr="00843F59" w:rsidRDefault="004F396C" w:rsidP="009F6F3B">
            <w:pPr>
              <w:bidi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</w:tbl>
    <w:p w:rsidR="004F396C" w:rsidRPr="00EF1C9C" w:rsidRDefault="004F396C" w:rsidP="004F396C">
      <w:pPr>
        <w:jc w:val="both"/>
        <w:rPr>
          <w:rFonts w:asciiTheme="majorBidi" w:hAnsiTheme="majorBidi" w:cstheme="majorBidi"/>
          <w:sz w:val="20"/>
          <w:szCs w:val="20"/>
          <w:lang w:bidi="ar-EG"/>
        </w:rPr>
      </w:pPr>
      <w:r w:rsidRPr="00EF1C9C">
        <w:rPr>
          <w:rFonts w:asciiTheme="majorBidi" w:hAnsiTheme="majorBidi" w:cstheme="majorBidi"/>
          <w:sz w:val="20"/>
          <w:szCs w:val="20"/>
          <w:lang w:bidi="ar-EG"/>
        </w:rPr>
        <w:t xml:space="preserve">AUC: Area under the curve; Sens: sensitivity; Spec: Specificity; PPV: positive-predictive value; NPV: Negative-predictive value; YI: Youden's index; RDW: red cell distribution width; RDWI: red cell distribution width index; </w:t>
      </w:r>
      <w:bookmarkEnd w:id="0"/>
      <w:r w:rsidRPr="00EF1C9C">
        <w:rPr>
          <w:rFonts w:asciiTheme="majorBidi" w:hAnsiTheme="majorBidi" w:cstheme="majorBidi"/>
          <w:sz w:val="20"/>
          <w:szCs w:val="20"/>
          <w:lang w:bidi="ar-EG"/>
        </w:rPr>
        <w:t>GK: Green and King Index; EF: England and Fraser index; SL: Shine and lal index; SI: Srivasta Index; RI: Ricerca Index; EI: Ehsani  Index; Sir I: Sirdah Index; HH: Huber-Herklotz-Index; SC: all sickle cell patients.</w:t>
      </w:r>
    </w:p>
    <w:p w:rsidR="004F396C" w:rsidRDefault="004F396C" w:rsidP="004F396C">
      <w:pPr>
        <w:rPr>
          <w:rFonts w:asciiTheme="majorBidi" w:hAnsiTheme="majorBidi" w:cstheme="majorBidi"/>
          <w:sz w:val="20"/>
          <w:szCs w:val="20"/>
          <w:lang w:bidi="ar-EG"/>
        </w:rPr>
      </w:pPr>
    </w:p>
    <w:p w:rsidR="00070216" w:rsidRDefault="00070216" w:rsidP="004F396C">
      <w:pPr>
        <w:rPr>
          <w:rFonts w:asciiTheme="majorBidi" w:hAnsiTheme="majorBidi" w:cstheme="majorBidi"/>
          <w:sz w:val="20"/>
          <w:szCs w:val="20"/>
          <w:lang w:bidi="ar-EG"/>
        </w:rPr>
      </w:pPr>
    </w:p>
    <w:p w:rsidR="00070216" w:rsidRDefault="00070216" w:rsidP="004F396C">
      <w:pPr>
        <w:rPr>
          <w:rFonts w:asciiTheme="majorBidi" w:hAnsiTheme="majorBidi" w:cstheme="majorBidi"/>
          <w:sz w:val="20"/>
          <w:szCs w:val="20"/>
          <w:lang w:bidi="ar-EG"/>
        </w:rPr>
      </w:pPr>
    </w:p>
    <w:p w:rsidR="004F396C" w:rsidRDefault="004F396C" w:rsidP="004F396C">
      <w:pPr>
        <w:rPr>
          <w:rFonts w:asciiTheme="majorBidi" w:hAnsiTheme="majorBidi" w:cstheme="majorBidi"/>
          <w:sz w:val="20"/>
          <w:szCs w:val="20"/>
          <w:lang w:bidi="ar-EG"/>
        </w:rPr>
      </w:pPr>
    </w:p>
    <w:sectPr w:rsidR="004F396C" w:rsidSect="006628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C7" w:rsidRDefault="006850C7" w:rsidP="007321F5">
      <w:pPr>
        <w:spacing w:after="0" w:line="240" w:lineRule="auto"/>
      </w:pPr>
      <w:r>
        <w:separator/>
      </w:r>
    </w:p>
  </w:endnote>
  <w:endnote w:type="continuationSeparator" w:id="1">
    <w:p w:rsidR="006850C7" w:rsidRDefault="006850C7" w:rsidP="0073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8813187"/>
      <w:docPartObj>
        <w:docPartGallery w:val="Page Numbers (Bottom of Page)"/>
        <w:docPartUnique/>
      </w:docPartObj>
    </w:sdtPr>
    <w:sdtContent>
      <w:p w:rsidR="00F178C5" w:rsidRDefault="00D7489D">
        <w:pPr>
          <w:pStyle w:val="Footer"/>
          <w:jc w:val="center"/>
        </w:pPr>
        <w:r>
          <w:fldChar w:fldCharType="begin"/>
        </w:r>
        <w:r w:rsidR="00F178C5">
          <w:instrText xml:space="preserve"> PAGE   \* MERGEFORMAT </w:instrText>
        </w:r>
        <w:r>
          <w:fldChar w:fldCharType="separate"/>
        </w:r>
        <w:r w:rsidR="001E0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78C5" w:rsidRDefault="00F178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C7" w:rsidRDefault="006850C7" w:rsidP="007321F5">
      <w:pPr>
        <w:spacing w:after="0" w:line="240" w:lineRule="auto"/>
      </w:pPr>
      <w:r>
        <w:separator/>
      </w:r>
    </w:p>
  </w:footnote>
  <w:footnote w:type="continuationSeparator" w:id="1">
    <w:p w:rsidR="006850C7" w:rsidRDefault="006850C7" w:rsidP="0073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411"/>
    <w:multiLevelType w:val="hybridMultilevel"/>
    <w:tmpl w:val="9718EC98"/>
    <w:lvl w:ilvl="0" w:tplc="27E268EA">
      <w:start w:val="1"/>
      <w:numFmt w:val="upperLetter"/>
      <w:lvlText w:val="%1."/>
      <w:lvlJc w:val="left"/>
      <w:pPr>
        <w:ind w:left="900" w:hanging="360"/>
      </w:pPr>
      <w:rPr>
        <w:rFonts w:asciiTheme="majorBidi" w:hAnsiTheme="majorBidi" w:cstheme="majorBid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AE5958"/>
    <w:multiLevelType w:val="hybridMultilevel"/>
    <w:tmpl w:val="9718EC98"/>
    <w:lvl w:ilvl="0" w:tplc="27E268EA">
      <w:start w:val="1"/>
      <w:numFmt w:val="upperLetter"/>
      <w:lvlText w:val="%1."/>
      <w:lvlJc w:val="left"/>
      <w:pPr>
        <w:ind w:left="900" w:hanging="360"/>
      </w:pPr>
      <w:rPr>
        <w:rFonts w:asciiTheme="majorBidi" w:hAnsiTheme="majorBidi" w:cstheme="majorBid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35522C"/>
    <w:multiLevelType w:val="hybridMultilevel"/>
    <w:tmpl w:val="721AE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521D7"/>
    <w:multiLevelType w:val="hybridMultilevel"/>
    <w:tmpl w:val="9718EC98"/>
    <w:lvl w:ilvl="0" w:tplc="27E268EA">
      <w:start w:val="1"/>
      <w:numFmt w:val="upperLetter"/>
      <w:lvlText w:val="%1."/>
      <w:lvlJc w:val="left"/>
      <w:pPr>
        <w:ind w:left="900" w:hanging="360"/>
      </w:pPr>
      <w:rPr>
        <w:rFonts w:asciiTheme="majorBidi" w:hAnsiTheme="majorBidi" w:cstheme="majorBid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274F23"/>
    <w:multiLevelType w:val="hybridMultilevel"/>
    <w:tmpl w:val="78362FB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74B1"/>
    <w:rsid w:val="00021BD4"/>
    <w:rsid w:val="000513A3"/>
    <w:rsid w:val="00055DC0"/>
    <w:rsid w:val="00070216"/>
    <w:rsid w:val="000C09D3"/>
    <w:rsid w:val="000D1B36"/>
    <w:rsid w:val="000E10C6"/>
    <w:rsid w:val="000F10CF"/>
    <w:rsid w:val="00103BEB"/>
    <w:rsid w:val="0013115F"/>
    <w:rsid w:val="00142E4E"/>
    <w:rsid w:val="001441FC"/>
    <w:rsid w:val="00156C06"/>
    <w:rsid w:val="00162E98"/>
    <w:rsid w:val="00177055"/>
    <w:rsid w:val="00187DE4"/>
    <w:rsid w:val="001B7D1A"/>
    <w:rsid w:val="001C0DAD"/>
    <w:rsid w:val="001D439F"/>
    <w:rsid w:val="001E0776"/>
    <w:rsid w:val="00201374"/>
    <w:rsid w:val="00203F77"/>
    <w:rsid w:val="00205624"/>
    <w:rsid w:val="00211245"/>
    <w:rsid w:val="0022231D"/>
    <w:rsid w:val="00233F16"/>
    <w:rsid w:val="002356A8"/>
    <w:rsid w:val="0024605A"/>
    <w:rsid w:val="002575B4"/>
    <w:rsid w:val="00275558"/>
    <w:rsid w:val="002840D9"/>
    <w:rsid w:val="00284CCC"/>
    <w:rsid w:val="00297162"/>
    <w:rsid w:val="002A0798"/>
    <w:rsid w:val="002B1AF0"/>
    <w:rsid w:val="002D40A4"/>
    <w:rsid w:val="002E5590"/>
    <w:rsid w:val="003248D0"/>
    <w:rsid w:val="00327F39"/>
    <w:rsid w:val="00337456"/>
    <w:rsid w:val="00342DA9"/>
    <w:rsid w:val="003623AA"/>
    <w:rsid w:val="00363063"/>
    <w:rsid w:val="00367670"/>
    <w:rsid w:val="00384043"/>
    <w:rsid w:val="0039587A"/>
    <w:rsid w:val="003B2B0D"/>
    <w:rsid w:val="003C0514"/>
    <w:rsid w:val="003D0AB0"/>
    <w:rsid w:val="003D60A5"/>
    <w:rsid w:val="00410A5A"/>
    <w:rsid w:val="00421C02"/>
    <w:rsid w:val="004609EF"/>
    <w:rsid w:val="00461701"/>
    <w:rsid w:val="004627AE"/>
    <w:rsid w:val="004746E1"/>
    <w:rsid w:val="00485EDE"/>
    <w:rsid w:val="004908F3"/>
    <w:rsid w:val="004B06CE"/>
    <w:rsid w:val="004B57A6"/>
    <w:rsid w:val="004C05F8"/>
    <w:rsid w:val="004C152C"/>
    <w:rsid w:val="004E58B4"/>
    <w:rsid w:val="004F396C"/>
    <w:rsid w:val="004F6736"/>
    <w:rsid w:val="00503981"/>
    <w:rsid w:val="00503E73"/>
    <w:rsid w:val="00530466"/>
    <w:rsid w:val="00533E40"/>
    <w:rsid w:val="005373DC"/>
    <w:rsid w:val="00552A7E"/>
    <w:rsid w:val="00565F9E"/>
    <w:rsid w:val="00587047"/>
    <w:rsid w:val="00587D59"/>
    <w:rsid w:val="005A6833"/>
    <w:rsid w:val="005D27AB"/>
    <w:rsid w:val="005D2C9D"/>
    <w:rsid w:val="005D780B"/>
    <w:rsid w:val="005E1A90"/>
    <w:rsid w:val="005F2058"/>
    <w:rsid w:val="006127FE"/>
    <w:rsid w:val="006146F1"/>
    <w:rsid w:val="00643ED5"/>
    <w:rsid w:val="00643F40"/>
    <w:rsid w:val="006628F9"/>
    <w:rsid w:val="00662F4F"/>
    <w:rsid w:val="00674210"/>
    <w:rsid w:val="006769DA"/>
    <w:rsid w:val="00683A36"/>
    <w:rsid w:val="006850C7"/>
    <w:rsid w:val="006B2607"/>
    <w:rsid w:val="006B2FD5"/>
    <w:rsid w:val="006E6DD8"/>
    <w:rsid w:val="00703637"/>
    <w:rsid w:val="007235AA"/>
    <w:rsid w:val="007321F5"/>
    <w:rsid w:val="00735691"/>
    <w:rsid w:val="00756579"/>
    <w:rsid w:val="00762D5F"/>
    <w:rsid w:val="00774183"/>
    <w:rsid w:val="00793F79"/>
    <w:rsid w:val="0079481E"/>
    <w:rsid w:val="007A6F6A"/>
    <w:rsid w:val="007B336C"/>
    <w:rsid w:val="007C0DE9"/>
    <w:rsid w:val="007C0E30"/>
    <w:rsid w:val="007F0E3B"/>
    <w:rsid w:val="00811546"/>
    <w:rsid w:val="00813AFE"/>
    <w:rsid w:val="00824DCE"/>
    <w:rsid w:val="0083509C"/>
    <w:rsid w:val="00835CF5"/>
    <w:rsid w:val="00843F59"/>
    <w:rsid w:val="00844E63"/>
    <w:rsid w:val="00851B44"/>
    <w:rsid w:val="008A457D"/>
    <w:rsid w:val="008B20F3"/>
    <w:rsid w:val="008C097A"/>
    <w:rsid w:val="00900A0C"/>
    <w:rsid w:val="00910615"/>
    <w:rsid w:val="00911F5E"/>
    <w:rsid w:val="00914A3E"/>
    <w:rsid w:val="00914C90"/>
    <w:rsid w:val="00920518"/>
    <w:rsid w:val="00921D41"/>
    <w:rsid w:val="0092616B"/>
    <w:rsid w:val="00974944"/>
    <w:rsid w:val="0098327C"/>
    <w:rsid w:val="009B1605"/>
    <w:rsid w:val="009B2433"/>
    <w:rsid w:val="009C5719"/>
    <w:rsid w:val="009D2302"/>
    <w:rsid w:val="009D430F"/>
    <w:rsid w:val="009E5676"/>
    <w:rsid w:val="009F1C5A"/>
    <w:rsid w:val="009F6F3B"/>
    <w:rsid w:val="00A063D2"/>
    <w:rsid w:val="00A20781"/>
    <w:rsid w:val="00A406A8"/>
    <w:rsid w:val="00A569FC"/>
    <w:rsid w:val="00A74B4C"/>
    <w:rsid w:val="00A8781F"/>
    <w:rsid w:val="00AA33BC"/>
    <w:rsid w:val="00AA3A67"/>
    <w:rsid w:val="00AC3A65"/>
    <w:rsid w:val="00AF21F7"/>
    <w:rsid w:val="00B11702"/>
    <w:rsid w:val="00B15521"/>
    <w:rsid w:val="00B56E0A"/>
    <w:rsid w:val="00B75458"/>
    <w:rsid w:val="00BB5791"/>
    <w:rsid w:val="00BD661B"/>
    <w:rsid w:val="00BE3A77"/>
    <w:rsid w:val="00BF1928"/>
    <w:rsid w:val="00BF1F5E"/>
    <w:rsid w:val="00C0023E"/>
    <w:rsid w:val="00C10E76"/>
    <w:rsid w:val="00C11DE0"/>
    <w:rsid w:val="00C12235"/>
    <w:rsid w:val="00C30E65"/>
    <w:rsid w:val="00C4728A"/>
    <w:rsid w:val="00C612C0"/>
    <w:rsid w:val="00C70EB0"/>
    <w:rsid w:val="00C80D5E"/>
    <w:rsid w:val="00C96785"/>
    <w:rsid w:val="00CB017F"/>
    <w:rsid w:val="00CC4BF0"/>
    <w:rsid w:val="00CD11BF"/>
    <w:rsid w:val="00CD30E9"/>
    <w:rsid w:val="00CD4144"/>
    <w:rsid w:val="00CD71D2"/>
    <w:rsid w:val="00CE67A9"/>
    <w:rsid w:val="00D0716D"/>
    <w:rsid w:val="00D16B77"/>
    <w:rsid w:val="00D22058"/>
    <w:rsid w:val="00D36CC9"/>
    <w:rsid w:val="00D5451D"/>
    <w:rsid w:val="00D7489D"/>
    <w:rsid w:val="00D84A9A"/>
    <w:rsid w:val="00D855B8"/>
    <w:rsid w:val="00D8764C"/>
    <w:rsid w:val="00DA1EC2"/>
    <w:rsid w:val="00DA74B1"/>
    <w:rsid w:val="00DB3E1F"/>
    <w:rsid w:val="00DC50E9"/>
    <w:rsid w:val="00DF236A"/>
    <w:rsid w:val="00DF4C45"/>
    <w:rsid w:val="00E35681"/>
    <w:rsid w:val="00E61C1C"/>
    <w:rsid w:val="00E64956"/>
    <w:rsid w:val="00E83CD5"/>
    <w:rsid w:val="00E901E8"/>
    <w:rsid w:val="00E94B75"/>
    <w:rsid w:val="00E94EE7"/>
    <w:rsid w:val="00F15AB0"/>
    <w:rsid w:val="00F178C5"/>
    <w:rsid w:val="00F34B80"/>
    <w:rsid w:val="00F45F81"/>
    <w:rsid w:val="00F50C69"/>
    <w:rsid w:val="00F5436E"/>
    <w:rsid w:val="00F72C84"/>
    <w:rsid w:val="00F75550"/>
    <w:rsid w:val="00F812AC"/>
    <w:rsid w:val="00FB355F"/>
    <w:rsid w:val="00FC114F"/>
    <w:rsid w:val="00FC3D15"/>
    <w:rsid w:val="00FD024D"/>
    <w:rsid w:val="00FD0A05"/>
    <w:rsid w:val="00FD247E"/>
    <w:rsid w:val="00FE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3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4C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56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1F5"/>
  </w:style>
  <w:style w:type="paragraph" w:styleId="Footer">
    <w:name w:val="footer"/>
    <w:basedOn w:val="Normal"/>
    <w:link w:val="FooterChar"/>
    <w:uiPriority w:val="99"/>
    <w:unhideWhenUsed/>
    <w:rsid w:val="0073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1F5"/>
  </w:style>
  <w:style w:type="character" w:styleId="Hyperlink">
    <w:name w:val="Hyperlink"/>
    <w:basedOn w:val="DefaultParagraphFont"/>
    <w:uiPriority w:val="99"/>
    <w:unhideWhenUsed/>
    <w:rsid w:val="00683A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Mahmoudibrahim</dc:creator>
  <cp:lastModifiedBy>Robin Wei</cp:lastModifiedBy>
  <cp:revision>4</cp:revision>
  <cp:lastPrinted>2022-01-17T14:49:00Z</cp:lastPrinted>
  <dcterms:created xsi:type="dcterms:W3CDTF">2022-06-15T07:42:00Z</dcterms:created>
  <dcterms:modified xsi:type="dcterms:W3CDTF">2022-06-19T11:32:00Z</dcterms:modified>
</cp:coreProperties>
</file>