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89" w:rsidRPr="00D05D89" w:rsidRDefault="00D05D89" w:rsidP="00D05D89">
      <w:pPr>
        <w:adjustRightInd w:val="0"/>
        <w:snapToGrid w:val="0"/>
        <w:rPr>
          <w:rFonts w:ascii="Times New Roman" w:eastAsia="Arial" w:hAnsi="Times New Roman" w:cs="Times New Roman"/>
        </w:rPr>
      </w:pPr>
      <w:r w:rsidRPr="00366940">
        <w:rPr>
          <w:rFonts w:ascii="Times New Roman" w:hAnsi="Times New Roman" w:cs="Times New Roman"/>
          <w:b/>
          <w:bCs/>
        </w:rPr>
        <w:t>Supple</w:t>
      </w:r>
      <w:r>
        <w:rPr>
          <w:rFonts w:ascii="Times New Roman" w:hAnsi="Times New Roman" w:cs="Times New Roman"/>
          <w:b/>
          <w:bCs/>
        </w:rPr>
        <w:t xml:space="preserve"> </w:t>
      </w:r>
      <w:r w:rsidRPr="00366940">
        <w:rPr>
          <w:rFonts w:ascii="Times New Roman" w:hAnsi="Times New Roman" w:cs="Times New Roman"/>
          <w:b/>
          <w:bCs/>
        </w:rPr>
        <w:t>1.</w:t>
      </w:r>
      <w:r w:rsidRPr="00366940">
        <w:rPr>
          <w:rFonts w:ascii="Times New Roman" w:eastAsia="Arial" w:hAnsi="Times New Roman" w:cs="Times New Roman"/>
          <w:b/>
          <w:bCs/>
        </w:rPr>
        <w:t xml:space="preserve"> </w:t>
      </w:r>
      <w:r w:rsidRPr="00D05D89">
        <w:rPr>
          <w:rFonts w:ascii="Times New Roman" w:eastAsia="Arial" w:hAnsi="Times New Roman" w:cs="Times New Roman"/>
        </w:rPr>
        <w:t>Patient, disease, and response characteristics for +1q Standard Risk v</w:t>
      </w:r>
      <w:r>
        <w:rPr>
          <w:rFonts w:ascii="Times New Roman" w:eastAsia="Arial" w:hAnsi="Times New Roman" w:cs="Times New Roman"/>
        </w:rPr>
        <w:t>s.</w:t>
      </w:r>
      <w:r w:rsidRPr="00D05D89">
        <w:rPr>
          <w:rFonts w:ascii="Times New Roman" w:eastAsia="Arial" w:hAnsi="Times New Roman" w:cs="Times New Roman"/>
        </w:rPr>
        <w:t xml:space="preserve"> +1q High Risk </w:t>
      </w:r>
      <w:r w:rsidRPr="00D05D89">
        <w:rPr>
          <w:rFonts w:ascii="Times New Roman" w:eastAsia="Times New Roman" w:hAnsi="Times New Roman" w:cs="Times New Roman"/>
          <w:color w:val="000000"/>
        </w:rPr>
        <w:t>Characteristics</w:t>
      </w:r>
    </w:p>
    <w:tbl>
      <w:tblPr>
        <w:tblW w:w="8880" w:type="dxa"/>
        <w:tblLook w:val="04A0"/>
      </w:tblPr>
      <w:tblGrid>
        <w:gridCol w:w="276"/>
        <w:gridCol w:w="4673"/>
        <w:gridCol w:w="1809"/>
        <w:gridCol w:w="1335"/>
        <w:gridCol w:w="1013"/>
      </w:tblGrid>
      <w:tr w:rsidR="00D05D89" w:rsidRPr="002579EA" w:rsidTr="00366940">
        <w:trPr>
          <w:trHeight w:val="58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+1q Standard Risk N=88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+1q High Risk N=32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p</w:t>
            </w: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value</w:t>
            </w: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Median age, years (range)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At Diagnosis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61 (21-77)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62 (29-77)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At ASCT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62 (26-78)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63 (31-79)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0.69</w:t>
            </w: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Age &gt;65, n(%)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32 (36)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14 (44)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Sex, n (%)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41 (47)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16 (50)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47 (53)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16 (50)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Race/Ethnicity, n (%)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53 (60)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21 (66)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0.34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35 (40)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9 (28)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Body Mass Index, n (%)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&lt;30 kg/m2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55 (63)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16 (50)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0.29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≥30 kg/m2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33 (38)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16 (50)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Subtype, n (%)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IgG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58 (66)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16 (50)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IgA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17 (19)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14 (44)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Light chain only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9 (10)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 (6)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Non-secretory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 (2)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Other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 (2)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Durie-Salmon Staging System (DSS), n (%)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5 (6)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 (9)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18 (20)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 (9)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30 (34)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16 (50)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35 (40)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10 (31)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International Staging System (ISS), n (%)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18 (20)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 (3)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25 (28)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8 (25)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24 (27)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10 (31)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21 (24)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13 (41)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Revised International Staging System (R-ISS), n (%)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10 (11)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17 (19)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6 (19)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4 (5)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8 (25)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57 (65)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18 (56)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ECOG performance status, n (%)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12 (14)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5 (16)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0.82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72 (82)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25 (78)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2+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 (3)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 (6)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Missing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 (1)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Cytogenetic abnormalities, n (%)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Del 17p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10 (31)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&lt;0.0001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t4;14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19 (59)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&lt;0.0001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t14;16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4 (13)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0.004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t14;20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 (1)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Amp 1q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 (3)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Gain 1q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88 (100)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32 (100)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HCT-CI, n (%)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0-1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25 (38)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8 (33)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2-3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28 (43)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8 (33)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4+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12 (18)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8 (33)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33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sCr&gt;2 or CrCl&lt;60 mL/min/1.73 m</w:t>
            </w: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2</w:t>
            </w: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at ASCT, n (%)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15 (17)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6 (19)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59 (67)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21 (66)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Missing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14 (16)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5 (16)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Melphalan dose, n (%)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200 mg/m2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67 (76)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22 (69)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140 mg/m2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21 (24)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10 (31)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Induction Regimen, n (%)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RVd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48 (55)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15 (47)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0.045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Dara-RVd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7 (8)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4 (13)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CyBorD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22 (25)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4 (13)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Carfilzomib-based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 (2)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5 (16)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Other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9 (10)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4 (13)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Maintenance Regimen, n (%)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Lenalidomide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54 (61)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17 (53)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0.85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Lenalidomide + PI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17 (19)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6 (19)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Lenalidomide + Daratumumab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6 (7)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 (9)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PI only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 (1)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Other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6 (7)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 (9)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None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4 (5)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 (9)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Best overall response post ASCT, n (%)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sCR/CR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35 (41)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11 (37)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0.055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VGPR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37 (43)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16 (53)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13 (15)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 (3)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SD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 (7)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PD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 (1)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Response prior to ASCT, n (%)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sCR/CR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16 (18)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4 (13)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VGPR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37 (43)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10 (31)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30 (34)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15 (47)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SD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 (2)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 (9)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PD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 (2)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Response at Day+100 post ASCT, n (%)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sCR/CR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25 (29)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9 (30)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VGPR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43 (50)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17 (57)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16 (19)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 (7)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SD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 (3)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PD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 (2)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 (3)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Response at 2-year post ASCT, n (%)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sCR/CR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15 (32)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3 (16)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0.59</w:t>
            </w: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VGPR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10 (21)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5 (26)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5 (11)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 (5)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SD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2 (4)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 (5)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D89" w:rsidRPr="002579EA" w:rsidTr="00366940">
        <w:trPr>
          <w:trHeight w:val="290"/>
        </w:trPr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PD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15 (32)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66940">
              <w:rPr>
                <w:rFonts w:ascii="Times New Roman" w:eastAsia="Times New Roman" w:hAnsi="Times New Roman" w:cs="Times New Roman"/>
                <w:color w:val="000000"/>
              </w:rPr>
              <w:t>9 (47)</w:t>
            </w:r>
          </w:p>
        </w:tc>
        <w:tc>
          <w:tcPr>
            <w:tcW w:w="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89" w:rsidRPr="00366940" w:rsidRDefault="00D05D89" w:rsidP="00366940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A5E81" w:rsidRDefault="003A5E81" w:rsidP="00B05204">
      <w:pPr>
        <w:adjustRightInd w:val="0"/>
        <w:snapToGrid w:val="0"/>
      </w:pPr>
    </w:p>
    <w:sectPr w:rsidR="003A5E81" w:rsidSect="00366940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C04" w:rsidRDefault="004D6C04" w:rsidP="00C659A2">
      <w:r>
        <w:separator/>
      </w:r>
    </w:p>
  </w:endnote>
  <w:endnote w:type="continuationSeparator" w:id="1">
    <w:p w:rsidR="004D6C04" w:rsidRDefault="004D6C04" w:rsidP="00C65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A2" w:rsidRDefault="00C659A2" w:rsidP="009857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C04" w:rsidRDefault="004D6C04" w:rsidP="00C659A2">
      <w:r>
        <w:separator/>
      </w:r>
    </w:p>
  </w:footnote>
  <w:footnote w:type="continuationSeparator" w:id="1">
    <w:p w:rsidR="004D6C04" w:rsidRDefault="004D6C04" w:rsidP="00C65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A2" w:rsidRDefault="00C659A2" w:rsidP="009857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5D89"/>
    <w:rsid w:val="003A5E81"/>
    <w:rsid w:val="004D6C04"/>
    <w:rsid w:val="0066616E"/>
    <w:rsid w:val="006D2339"/>
    <w:rsid w:val="008B5374"/>
    <w:rsid w:val="00B05204"/>
    <w:rsid w:val="00C659A2"/>
    <w:rsid w:val="00D05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D89"/>
    <w:pPr>
      <w:spacing w:after="0" w:line="240" w:lineRule="auto"/>
    </w:pPr>
    <w:rPr>
      <w:rFonts w:eastAsiaTheme="minorHAnsi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D89"/>
    <w:rPr>
      <w:rFonts w:eastAsiaTheme="minorHAnsi"/>
      <w:kern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5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D89"/>
    <w:rPr>
      <w:rFonts w:eastAsiaTheme="minorHAnsi"/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204"/>
    <w:rPr>
      <w:rFonts w:ascii="Tahoma" w:eastAsiaTheme="minorHAnsi" w:hAnsi="Tahoma" w:cs="Tahoma"/>
      <w:kern w:val="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2023-12-01T17:48:00Z</dcterms:created>
  <dcterms:modified xsi:type="dcterms:W3CDTF">2023-12-03T23:05:00Z</dcterms:modified>
</cp:coreProperties>
</file>